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Washington, D.C. 20549</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10-K</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120"/>
        <w:jc w:val="left"/>
        <w:rPr>
          <w:rFonts w:ascii="Trade Gothic;sans-serif" w:hAnsi="Trade Gothic;sans-serif"/>
          <w:b/>
          <w:color w:val="000000"/>
          <w:sz w:val="19"/>
        </w:rPr>
      </w:pPr>
      <w:r>
        <w:rPr>
          <w:rFonts w:ascii="Trade Gothic;sans-serif" w:hAnsi="Trade Gothic;sans-serif"/>
          <w:b/>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color w:val="000000"/>
                <w:sz w:val="19"/>
              </w:rPr>
            </w:pPr>
            <w:r>
              <w:rPr>
                <w:rFonts w:ascii="Wingdings;sans-serif" w:hAnsi="Wingdings;sans-serif"/>
                <w:b/>
                <w:color w:val="000000"/>
                <w:sz w:val="19"/>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 xml:space="preserve">ANNUAL REPORT PURSUANT TO SECTION 13 OR 15(d) OF THE SECURITIES EXCHANGE ACT OF 1934 </w:t>
            </w:r>
          </w:p>
        </w:tc>
      </w:tr>
    </w:tbl>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For the fiscal year ended December 31, 2025</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color w:val="000000"/>
                <w:sz w:val="19"/>
              </w:rPr>
            </w:pPr>
            <w:r>
              <w:rPr>
                <w:rFonts w:ascii="Wingdings;sans-serif" w:hAnsi="Wingdings;sans-serif"/>
                <w:b/>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TRANSITION REPORT PURSUANT TO SECTION 13 OR 15(d) OF THE SECURITIES EXCHANGE ACT OF 1934</w:t>
            </w:r>
          </w:p>
        </w:tc>
      </w:tr>
    </w:tbl>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For the transition period from    to    </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Commission file number 001-43105</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SpyGlass Pharma, Inc.</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(Exact name of registrant as specified in its charter)</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___________________________</w:t>
      </w:r>
    </w:p>
    <w:tbl>
      <w:tblPr>
        <w:tblW w:w="5849" w:type="dxa"/>
        <w:jc w:val="left"/>
        <w:tblInd w:w="0" w:type="dxa"/>
        <w:tblLayout w:type="fixed"/>
        <w:tblCellMar>
          <w:top w:w="28" w:type="dxa"/>
          <w:left w:w="28" w:type="dxa"/>
          <w:bottom w:w="28" w:type="dxa"/>
          <w:right w:w="28" w:type="dxa"/>
        </w:tblCellMar>
      </w:tblPr>
      <w:tblGrid>
        <w:gridCol w:w="1434"/>
        <w:gridCol w:w="1259"/>
        <w:gridCol w:w="1266"/>
        <w:gridCol w:w="554"/>
        <w:gridCol w:w="554"/>
        <w:gridCol w:w="782"/>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Delaware</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83-3044245</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 xml:space="preserve">(State or other jurisdiction of </w:t>
              <w:br/>
              <w:t>incorporation or organization)</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 xml:space="preserve">(I.R.S. Employer </w:t>
              <w:br/>
              <w:t>Identification No.)</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27061 Aliso Creek Rd., Suite 100</w:t>
            </w:r>
          </w:p>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Aliso Viejo, California</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92656</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(Address of Principal Executive Offices)</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(Zip Code)</w:t>
            </w:r>
          </w:p>
        </w:tc>
      </w:tr>
    </w:tbl>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(949) 284-6904</w:t>
      </w:r>
    </w:p>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Registrant’s telephone number, including area code</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16"/>
        <w:gridCol w:w="1194"/>
        <w:gridCol w:w="1199"/>
        <w:gridCol w:w="640"/>
        <w:gridCol w:w="640"/>
        <w:gridCol w:w="642"/>
        <w:gridCol w:w="1306"/>
        <w:gridCol w:w="1306"/>
        <w:gridCol w:w="1862"/>
      </w:tblGrid>
      <w:tr>
        <w:trPr/>
        <w:tc>
          <w:tcPr>
            <w:tcW w:w="141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Title of each class</w:t>
            </w:r>
          </w:p>
        </w:tc>
        <w:tc>
          <w:tcPr>
            <w:tcW w:w="19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Trading Symbol(s)</w:t>
            </w:r>
          </w:p>
        </w:tc>
        <w:tc>
          <w:tcPr>
            <w:tcW w:w="4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Name of each exchange on which registered</w:t>
            </w:r>
          </w:p>
        </w:tc>
      </w:tr>
      <w:tr>
        <w:trPr/>
        <w:tc>
          <w:tcPr>
            <w:tcW w:w="38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8"/>
              </w:rPr>
            </w:pPr>
            <w:r>
              <w:rPr>
                <w:rFonts w:ascii="Trade Gothic;sans-serif" w:hAnsi="Trade Gothic;sans-serif"/>
                <w:b w:val="false"/>
                <w:color w:val="000000"/>
                <w:sz w:val="18"/>
              </w:rPr>
              <w:t>Common Stock, par value $0.00001 per share</w:t>
            </w:r>
          </w:p>
        </w:tc>
        <w:tc>
          <w:tcPr>
            <w:tcW w:w="19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8"/>
              </w:rPr>
            </w:pPr>
            <w:r>
              <w:rPr>
                <w:rFonts w:ascii="Trade Gothic;sans-serif" w:hAnsi="Trade Gothic;sans-serif"/>
                <w:b w:val="false"/>
                <w:color w:val="000000"/>
                <w:sz w:val="18"/>
              </w:rPr>
              <w:t>SGP</w:t>
            </w:r>
          </w:p>
        </w:tc>
        <w:tc>
          <w:tcPr>
            <w:tcW w:w="44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rade Gothic;sans-serif" w:hAnsi="Trade Gothic;sans-serif"/>
                <w:b w:val="false"/>
                <w:color w:val="000000"/>
                <w:sz w:val="18"/>
              </w:rPr>
            </w:pPr>
            <w:r>
              <w:rPr>
                <w:rFonts w:ascii="Trade Gothic;sans-serif" w:hAnsi="Trade Gothic;sans-serif"/>
                <w:b w:val="false"/>
                <w:color w:val="000000"/>
                <w:sz w:val="18"/>
              </w:rPr>
              <w:t>The Nasdaq Stock Market LLC</w:t>
            </w:r>
          </w:p>
        </w:tc>
      </w:tr>
    </w:tbl>
    <w:p>
      <w:pPr>
        <w:pStyle w:val="TextBody"/>
        <w:bidi w:val="0"/>
        <w:spacing w:lineRule="auto" w:line="288" w:before="0" w:after="240"/>
        <w:jc w:val="left"/>
        <w:rPr/>
      </w:pPr>
      <w:r>
        <w:rPr>
          <w:rFonts w:ascii="Trade Gothic;sans-serif" w:hAnsi="Trade Gothic;sans-serif"/>
          <w:b w:val="false"/>
          <w:color w:val="000000"/>
          <w:sz w:val="16"/>
        </w:rPr>
        <w:t xml:space="preserve">Securities registered pursuant to section 12(g) of the Act: </w:t>
      </w:r>
      <w:r>
        <w:rPr>
          <w:rFonts w:ascii="Trade Gothic;sans-serif" w:hAnsi="Trade Gothic;sans-serif"/>
          <w:b/>
          <w:color w:val="000000"/>
          <w:sz w:val="16"/>
        </w:rPr>
        <w:t>None</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o</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60"/>
        <w:jc w:val="left"/>
        <w:rPr>
          <w:rFonts w:ascii="Trade Gothic;sans-serif" w:hAnsi="Trade Gothic;sans-serif"/>
          <w:b w:val="false"/>
          <w:color w:val="000000"/>
          <w:sz w:val="16"/>
        </w:rPr>
      </w:pPr>
      <w:r>
        <w:rPr>
          <w:rFonts w:ascii="Trade Gothic;sans-serif" w:hAnsi="Trade Gothic;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0" w:after="160"/>
        <w:jc w:val="left"/>
        <w:rPr/>
      </w:pPr>
      <w:r>
        <w:rPr>
          <w:rFonts w:ascii="Trade Gothic;sans-serif" w:hAnsi="Trade Gothic;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bidi w:val="0"/>
        <w:spacing w:lineRule="auto" w:line="288" w:before="0" w:after="160"/>
        <w:jc w:val="left"/>
        <w:rPr/>
      </w:pPr>
      <w:r>
        <w:rPr>
          <w:rFonts w:ascii="Trade Gothic;sans-serif" w:hAnsi="Trade Gothic;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60"/>
        <w:jc w:val="left"/>
        <w:rPr>
          <w:rFonts w:ascii="Trade Gothic;sans-serif" w:hAnsi="Trade Gothic;sans-serif"/>
          <w:b w:val="false"/>
          <w:color w:val="000000"/>
          <w:sz w:val="16"/>
        </w:rPr>
      </w:pPr>
      <w:r>
        <w:rPr>
          <w:rFonts w:ascii="Trade Gothic;sans-serif" w:hAnsi="Trade Gothic;sans-serif"/>
          <w:b w:val="false"/>
          <w:color w:val="000000"/>
          <w:sz w:val="16"/>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pStyle w:val="TextBody"/>
        <w:bidi w:val="0"/>
        <w:spacing w:lineRule="auto" w:line="288" w:before="0" w:after="0"/>
        <w:jc w:val="left"/>
        <w:rPr>
          <w:rFonts w:ascii="Trade Gothic;sans-serif" w:hAnsi="Trade Gothic;sans-serif"/>
          <w:b w:val="false"/>
          <w:color w:val="000000"/>
          <w:sz w:val="16"/>
        </w:rPr>
      </w:pPr>
      <w:r>
        <w:rPr>
          <w:rFonts w:ascii="Trade Gothic;sans-serif" w:hAnsi="Trade Gothic;sans-serif"/>
          <w:b w:val="false"/>
          <w:color w:val="000000"/>
          <w:sz w:val="16"/>
        </w:rPr>
        <w:t>The number of shares of the registrant’s common stock outstanding as of March 1, 2026 was 33,426,557.</w:t>
      </w:r>
    </w:p>
    <w:p>
      <w:pPr>
        <w:pStyle w:val="TextBody"/>
        <w:bidi w:val="0"/>
        <w:spacing w:before="0" w:after="0"/>
        <w:jc w:val="left"/>
        <w:rPr/>
      </w:pPr>
      <w:r>
        <w:rPr/>
      </w:r>
    </w:p>
    <w:p>
      <w:pPr>
        <w:pStyle w:val="TextBody"/>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 xml:space="preserve">DOCUMENTS INCORPORATED BY REFERENCE </w:t>
      </w:r>
    </w:p>
    <w:p>
      <w:pPr>
        <w:pStyle w:val="TextBody"/>
        <w:bidi w:val="0"/>
        <w:spacing w:lineRule="auto" w:line="288" w:before="0" w:after="0"/>
        <w:jc w:val="right"/>
        <w:rPr>
          <w:rFonts w:ascii="Trade Gothic;sans-serif" w:hAnsi="Trade Gothic;sans-serif"/>
          <w:b w:val="false"/>
          <w:color w:val="000000"/>
          <w:sz w:val="16"/>
        </w:rPr>
      </w:pPr>
      <w:r>
        <w:rPr>
          <w:rFonts w:ascii="Trade Gothic;sans-serif" w:hAnsi="Trade Gothic;sans-serif"/>
          <w:b w:val="false"/>
          <w:color w:val="000000"/>
          <w:sz w:val="16"/>
        </w:rPr>
        <w:t>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0335"/>
                <wp:effectExtent l="0" t="0" r="0" b="0"/>
                <wp:wrapNone/>
                <wp:docPr id="1" name="Frame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4"/>
        <w:gridCol w:w="285"/>
        <w:gridCol w:w="287"/>
        <w:gridCol w:w="2982"/>
        <w:gridCol w:w="2825"/>
        <w:gridCol w:w="2793"/>
        <w:gridCol w:w="206"/>
        <w:gridCol w:w="206"/>
        <w:gridCol w:w="297"/>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20"/>
              </w:rPr>
            </w:pPr>
            <w:r>
              <w:rPr>
                <w:rFonts w:ascii="Trade Gothic;sans-serif" w:hAnsi="Trade Gothic;sans-serif"/>
                <w:b/>
                <w:color w:val="000000"/>
                <w:sz w:val="20"/>
              </w:rPr>
              <w:t>Page</w:t>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PART I</w:t>
            </w:r>
          </w:p>
        </w:tc>
        <w:tc>
          <w:tcPr>
            <w:tcW w:w="8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3">
              <w:r>
                <w:rPr>
                  <w:rStyle w:val="InternetLink"/>
                  <w:rFonts w:ascii="Trade Gothic;sans-serif" w:hAnsi="Trade Gothic;sans-serif"/>
                  <w:b/>
                  <w:color w:val="3051F2"/>
                  <w:sz w:val="20"/>
                  <w:u w:val="single"/>
                </w:rPr>
                <w:t>Business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3">
              <w:r>
                <w:rPr>
                  <w:rStyle w:val="InternetLink"/>
                  <w:rFonts w:ascii="Trade Gothic;sans-serif" w:hAnsi="Trade Gothic;sans-serif"/>
                  <w:b w:val="false"/>
                  <w:strike w:val="false"/>
                  <w:dstrike w:val="false"/>
                  <w:color w:val="000000"/>
                  <w:sz w:val="20"/>
                  <w:u w:val="none"/>
                  <w:effect w:val="none"/>
                </w:rPr>
                <w:t>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1A.</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6">
              <w:r>
                <w:rPr>
                  <w:rStyle w:val="InternetLink"/>
                  <w:rFonts w:ascii="Trade Gothic;sans-serif" w:hAnsi="Trade Gothic;sans-serif"/>
                  <w:b/>
                  <w:color w:val="3051F2"/>
                  <w:sz w:val="20"/>
                  <w:u w:val="single"/>
                </w:rPr>
                <w:t>Risk Factors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6">
              <w:r>
                <w:rPr>
                  <w:rStyle w:val="InternetLink"/>
                  <w:rFonts w:ascii="Trade Gothic;sans-serif" w:hAnsi="Trade Gothic;sans-serif"/>
                  <w:b w:val="false"/>
                  <w:strike w:val="false"/>
                  <w:dstrike w:val="false"/>
                  <w:color w:val="000000"/>
                  <w:sz w:val="20"/>
                  <w:u w:val="none"/>
                  <w:effect w:val="none"/>
                </w:rPr>
                <w:t>38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1B.</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9">
              <w:r>
                <w:rPr>
                  <w:rStyle w:val="InternetLink"/>
                  <w:rFonts w:ascii="Trade Gothic;sans-serif" w:hAnsi="Trade Gothic;sans-serif"/>
                  <w:b/>
                  <w:color w:val="3051F2"/>
                  <w:sz w:val="20"/>
                  <w:u w:val="single"/>
                </w:rPr>
                <w:t>Unresolved Staff Comments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9">
              <w:r>
                <w:rPr>
                  <w:rStyle w:val="InternetLink"/>
                  <w:rFonts w:ascii="Trade Gothic;sans-serif" w:hAnsi="Trade Gothic;sans-serif"/>
                  <w:b w:val="false"/>
                  <w:strike w:val="false"/>
                  <w:dstrike w:val="false"/>
                  <w:color w:val="000000"/>
                  <w:sz w:val="20"/>
                  <w:u w:val="none"/>
                  <w:effect w:val="none"/>
                </w:rPr>
                <w:t>98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1C.</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302">
              <w:r>
                <w:rPr>
                  <w:rStyle w:val="InternetLink"/>
                  <w:rFonts w:ascii="Trade Gothic;sans-serif" w:hAnsi="Trade Gothic;sans-serif"/>
                  <w:b/>
                  <w:color w:val="3051F2"/>
                  <w:sz w:val="20"/>
                  <w:u w:val="single"/>
                </w:rPr>
                <w:t>Cybersecurity</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302">
              <w:r>
                <w:rPr>
                  <w:rStyle w:val="InternetLink"/>
                  <w:rFonts w:ascii="Trade Gothic;sans-serif" w:hAnsi="Trade Gothic;sans-serif"/>
                  <w:b w:val="false"/>
                  <w:strike w:val="false"/>
                  <w:dstrike w:val="false"/>
                  <w:color w:val="000000"/>
                  <w:sz w:val="20"/>
                  <w:u w:val="none"/>
                  <w:effect w:val="none"/>
                </w:rPr>
                <w:t>98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2.</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22">
              <w:r>
                <w:rPr>
                  <w:rStyle w:val="InternetLink"/>
                  <w:rFonts w:ascii="Trade Gothic;sans-serif" w:hAnsi="Trade Gothic;sans-serif"/>
                  <w:b/>
                  <w:color w:val="3051F2"/>
                  <w:sz w:val="20"/>
                  <w:u w:val="single"/>
                </w:rPr>
                <w:t>Properties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22">
              <w:r>
                <w:rPr>
                  <w:rStyle w:val="InternetLink"/>
                  <w:rFonts w:ascii="Trade Gothic;sans-serif" w:hAnsi="Trade Gothic;sans-serif"/>
                  <w:b w:val="false"/>
                  <w:strike w:val="false"/>
                  <w:dstrike w:val="false"/>
                  <w:color w:val="000000"/>
                  <w:sz w:val="20"/>
                  <w:u w:val="none"/>
                  <w:effect w:val="none"/>
                </w:rPr>
                <w:t>99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3.</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25">
              <w:r>
                <w:rPr>
                  <w:rStyle w:val="InternetLink"/>
                  <w:rFonts w:ascii="Trade Gothic;sans-serif" w:hAnsi="Trade Gothic;sans-serif"/>
                  <w:b/>
                  <w:color w:val="3051F2"/>
                  <w:sz w:val="20"/>
                  <w:u w:val="single"/>
                </w:rPr>
                <w:t>Legal Proceedings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25">
              <w:r>
                <w:rPr>
                  <w:rStyle w:val="InternetLink"/>
                  <w:rFonts w:ascii="Trade Gothic;sans-serif" w:hAnsi="Trade Gothic;sans-serif"/>
                  <w:b w:val="false"/>
                  <w:strike w:val="false"/>
                  <w:dstrike w:val="false"/>
                  <w:color w:val="000000"/>
                  <w:sz w:val="20"/>
                  <w:u w:val="none"/>
                  <w:effect w:val="none"/>
                </w:rPr>
                <w:t>99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4.</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28">
              <w:r>
                <w:rPr>
                  <w:rStyle w:val="InternetLink"/>
                  <w:rFonts w:ascii="Trade Gothic;sans-serif" w:hAnsi="Trade Gothic;sans-serif"/>
                  <w:b/>
                  <w:color w:val="3051F2"/>
                  <w:sz w:val="20"/>
                  <w:u w:val="single"/>
                </w:rPr>
                <w:t>Mine Safety Disclosures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28">
              <w:r>
                <w:rPr>
                  <w:rStyle w:val="InternetLink"/>
                  <w:rFonts w:ascii="Trade Gothic;sans-serif" w:hAnsi="Trade Gothic;sans-serif"/>
                  <w:b w:val="false"/>
                  <w:strike w:val="false"/>
                  <w:dstrike w:val="false"/>
                  <w:color w:val="000000"/>
                  <w:sz w:val="20"/>
                  <w:u w:val="none"/>
                  <w:effect w:val="none"/>
                </w:rPr>
                <w:t>99</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PART II</w:t>
            </w:r>
          </w:p>
        </w:tc>
        <w:tc>
          <w:tcPr>
            <w:tcW w:w="8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5.</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34">
              <w:r>
                <w:rPr>
                  <w:rStyle w:val="InternetLink"/>
                  <w:rFonts w:ascii="Trade Gothic;sans-serif" w:hAnsi="Trade Gothic;sans-serif"/>
                  <w:b/>
                  <w:color w:val="3051F2"/>
                  <w:sz w:val="20"/>
                  <w:u w:val="single"/>
                </w:rPr>
                <w:t>Market for Registrant's Common Equity, Related Stockholder Matters and Issuer Purchases of Equity Securities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34">
              <w:r>
                <w:rPr>
                  <w:rStyle w:val="InternetLink"/>
                  <w:rFonts w:ascii="Trade Gothic;sans-serif" w:hAnsi="Trade Gothic;sans-serif"/>
                  <w:b w:val="false"/>
                  <w:strike w:val="false"/>
                  <w:dstrike w:val="false"/>
                  <w:color w:val="000000"/>
                  <w:sz w:val="20"/>
                  <w:u w:val="none"/>
                  <w:effect w:val="none"/>
                </w:rPr>
                <w:t>100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6.</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37">
              <w:r>
                <w:rPr>
                  <w:rStyle w:val="InternetLink"/>
                  <w:rFonts w:ascii="Trade Gothic;sans-serif" w:hAnsi="Trade Gothic;sans-serif"/>
                  <w:b/>
                  <w:color w:val="3051F2"/>
                  <w:sz w:val="20"/>
                  <w:u w:val="single"/>
                </w:rPr>
                <w:t>[Reserved]</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37">
              <w:r>
                <w:rPr>
                  <w:rStyle w:val="InternetLink"/>
                  <w:rFonts w:ascii="Trade Gothic;sans-serif" w:hAnsi="Trade Gothic;sans-serif"/>
                  <w:b w:val="false"/>
                  <w:strike w:val="false"/>
                  <w:dstrike w:val="false"/>
                  <w:color w:val="000000"/>
                  <w:sz w:val="20"/>
                  <w:u w:val="none"/>
                  <w:effect w:val="none"/>
                </w:rPr>
                <w:t>101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7.</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40">
              <w:r>
                <w:rPr>
                  <w:rStyle w:val="InternetLink"/>
                  <w:rFonts w:ascii="Trade Gothic;sans-serif" w:hAnsi="Trade Gothic;sans-serif"/>
                  <w:b/>
                  <w:color w:val="3051F2"/>
                  <w:sz w:val="20"/>
                  <w:u w:val="single"/>
                </w:rPr>
                <w:t>Management's Discussion and Analysis of Financial Condition and Results of Operations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40">
              <w:r>
                <w:rPr>
                  <w:rStyle w:val="InternetLink"/>
                  <w:rFonts w:ascii="Trade Gothic;sans-serif" w:hAnsi="Trade Gothic;sans-serif"/>
                  <w:b w:val="false"/>
                  <w:strike w:val="false"/>
                  <w:dstrike w:val="false"/>
                  <w:color w:val="000000"/>
                  <w:sz w:val="20"/>
                  <w:u w:val="none"/>
                  <w:effect w:val="none"/>
                </w:rPr>
                <w:t>101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7A.</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70">
              <w:r>
                <w:rPr>
                  <w:rStyle w:val="InternetLink"/>
                  <w:rFonts w:ascii="Trade Gothic;sans-serif" w:hAnsi="Trade Gothic;sans-serif"/>
                  <w:b/>
                  <w:color w:val="3051F2"/>
                  <w:sz w:val="20"/>
                  <w:u w:val="single"/>
                </w:rPr>
                <w:t>Quantitative and Qualitative Disclosures About Market Risk</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70">
              <w:r>
                <w:rPr>
                  <w:rStyle w:val="InternetLink"/>
                  <w:rFonts w:ascii="Trade Gothic;sans-serif" w:hAnsi="Trade Gothic;sans-serif"/>
                  <w:b w:val="false"/>
                  <w:strike w:val="false"/>
                  <w:dstrike w:val="false"/>
                  <w:color w:val="000000"/>
                  <w:sz w:val="20"/>
                  <w:u w:val="none"/>
                  <w:effect w:val="none"/>
                </w:rPr>
                <w:t>111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8.</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4398046512509">
              <w:r>
                <w:rPr>
                  <w:rStyle w:val="InternetLink"/>
                  <w:rFonts w:ascii="Trade Gothic;sans-serif" w:hAnsi="Trade Gothic;sans-serif"/>
                  <w:b/>
                  <w:color w:val="3051F2"/>
                  <w:sz w:val="20"/>
                  <w:u w:val="single"/>
                </w:rPr>
                <w:t>Financial Statements and Supplementary Data</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4398046512509">
              <w:r>
                <w:rPr>
                  <w:rStyle w:val="InternetLink"/>
                  <w:rFonts w:ascii="Trade Gothic;sans-serif" w:hAnsi="Trade Gothic;sans-serif"/>
                  <w:b w:val="false"/>
                  <w:strike w:val="false"/>
                  <w:dstrike w:val="false"/>
                  <w:color w:val="000000"/>
                  <w:sz w:val="20"/>
                  <w:u w:val="none"/>
                  <w:effect w:val="none"/>
                </w:rPr>
                <w:t>111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9.</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33">
              <w:r>
                <w:rPr>
                  <w:rStyle w:val="InternetLink"/>
                  <w:rFonts w:ascii="Trade Gothic;sans-serif" w:hAnsi="Trade Gothic;sans-serif"/>
                  <w:b/>
                  <w:color w:val="3051F2"/>
                  <w:sz w:val="20"/>
                  <w:u w:val="single"/>
                </w:rPr>
                <w:t>Changes in and Disagreements With Accountants on Accounting and Financial Disclosures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33">
              <w:r>
                <w:rPr>
                  <w:rStyle w:val="InternetLink"/>
                  <w:rFonts w:ascii="Trade Gothic;sans-serif" w:hAnsi="Trade Gothic;sans-serif"/>
                  <w:b w:val="false"/>
                  <w:strike w:val="false"/>
                  <w:dstrike w:val="false"/>
                  <w:color w:val="000000"/>
                  <w:sz w:val="20"/>
                  <w:u w:val="none"/>
                  <w:effect w:val="none"/>
                </w:rPr>
                <w:t>113</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9A.</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36">
              <w:r>
                <w:rPr>
                  <w:rStyle w:val="InternetLink"/>
                  <w:rFonts w:ascii="Trade Gothic;sans-serif" w:hAnsi="Trade Gothic;sans-serif"/>
                  <w:b/>
                  <w:color w:val="3051F2"/>
                  <w:sz w:val="20"/>
                  <w:u w:val="single"/>
                </w:rPr>
                <w:t>Controls and Procedures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36">
              <w:r>
                <w:rPr>
                  <w:rStyle w:val="InternetLink"/>
                  <w:rFonts w:ascii="Trade Gothic;sans-serif" w:hAnsi="Trade Gothic;sans-serif"/>
                  <w:b w:val="false"/>
                  <w:strike w:val="false"/>
                  <w:dstrike w:val="false"/>
                  <w:color w:val="000000"/>
                  <w:sz w:val="20"/>
                  <w:u w:val="none"/>
                  <w:effect w:val="none"/>
                </w:rPr>
                <w:t>113</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9B.</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39">
              <w:r>
                <w:rPr>
                  <w:rStyle w:val="InternetLink"/>
                  <w:rFonts w:ascii="Trade Gothic;sans-serif" w:hAnsi="Trade Gothic;sans-serif"/>
                  <w:b/>
                  <w:color w:val="3051F2"/>
                  <w:sz w:val="20"/>
                  <w:u w:val="single"/>
                </w:rPr>
                <w:t>Other Information</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39">
              <w:r>
                <w:rPr>
                  <w:rStyle w:val="InternetLink"/>
                  <w:rFonts w:ascii="Trade Gothic;sans-serif" w:hAnsi="Trade Gothic;sans-serif"/>
                  <w:b w:val="false"/>
                  <w:strike w:val="false"/>
                  <w:dstrike w:val="false"/>
                  <w:color w:val="000000"/>
                  <w:sz w:val="20"/>
                  <w:u w:val="none"/>
                  <w:effect w:val="none"/>
                </w:rPr>
                <w:t>114</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9C.</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42">
              <w:r>
                <w:rPr>
                  <w:rStyle w:val="InternetLink"/>
                  <w:rFonts w:ascii="Trade Gothic;sans-serif" w:hAnsi="Trade Gothic;sans-serif"/>
                  <w:b/>
                  <w:color w:val="000080"/>
                  <w:sz w:val="20"/>
                  <w:u w:val="single"/>
                </w:rPr>
                <w:t>Disclosure Regarding Foreign Jurisdiction</w:t>
              </w:r>
            </w:hyperlink>
            <w:hyperlink w:anchor="ifaf54775e85441fc836f60bc7c4f1464_142">
              <w:r>
                <w:rPr>
                  <w:rStyle w:val="InternetLink"/>
                  <w:rFonts w:ascii="Trade Gothic;sans-serif" w:hAnsi="Trade Gothic;sans-serif"/>
                  <w:b/>
                  <w:color w:val="000080"/>
                  <w:sz w:val="20"/>
                  <w:u w:val="single"/>
                </w:rPr>
                <w:t>s</w:t>
              </w:r>
            </w:hyperlink>
            <w:hyperlink w:anchor="ifaf54775e85441fc836f60bc7c4f1464_142">
              <w:r>
                <w:rPr>
                  <w:rStyle w:val="InternetLink"/>
                  <w:rFonts w:ascii="Trade Gothic;sans-serif" w:hAnsi="Trade Gothic;sans-serif"/>
                  <w:b/>
                  <w:color w:val="000080"/>
                  <w:sz w:val="20"/>
                  <w:u w:val="single"/>
                </w:rPr>
                <w:t xml:space="preserve"> that Prevent Inspections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42">
              <w:r>
                <w:rPr>
                  <w:rStyle w:val="InternetLink"/>
                  <w:rFonts w:ascii="Trade Gothic;sans-serif" w:hAnsi="Trade Gothic;sans-serif"/>
                  <w:b w:val="false"/>
                  <w:strike w:val="false"/>
                  <w:dstrike w:val="false"/>
                  <w:color w:val="000000"/>
                  <w:sz w:val="20"/>
                  <w:u w:val="none"/>
                  <w:effect w:val="none"/>
                </w:rPr>
                <w:t>114</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PART III</w:t>
            </w:r>
          </w:p>
        </w:tc>
        <w:tc>
          <w:tcPr>
            <w:tcW w:w="8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10.</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48">
              <w:r>
                <w:rPr>
                  <w:rStyle w:val="InternetLink"/>
                  <w:rFonts w:ascii="Trade Gothic;sans-serif" w:hAnsi="Trade Gothic;sans-serif"/>
                  <w:b/>
                  <w:color w:val="3051F2"/>
                  <w:sz w:val="20"/>
                  <w:u w:val="single"/>
                </w:rPr>
                <w:t>Directors, Executive Officers and Corporate Governance</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48">
              <w:r>
                <w:rPr>
                  <w:rStyle w:val="InternetLink"/>
                  <w:rFonts w:ascii="Trade Gothic;sans-serif" w:hAnsi="Trade Gothic;sans-serif"/>
                  <w:b w:val="false"/>
                  <w:strike w:val="false"/>
                  <w:dstrike w:val="false"/>
                  <w:color w:val="000000"/>
                  <w:sz w:val="20"/>
                  <w:u w:val="none"/>
                  <w:effect w:val="none"/>
                </w:rPr>
                <w:t>115</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11.</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51">
              <w:r>
                <w:rPr>
                  <w:rStyle w:val="InternetLink"/>
                  <w:rFonts w:ascii="Trade Gothic;sans-serif" w:hAnsi="Trade Gothic;sans-serif"/>
                  <w:b/>
                  <w:color w:val="3051F2"/>
                  <w:sz w:val="20"/>
                  <w:u w:val="single"/>
                </w:rPr>
                <w:t>Executive Compensation</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51">
              <w:r>
                <w:rPr>
                  <w:rStyle w:val="InternetLink"/>
                  <w:rFonts w:ascii="Trade Gothic;sans-serif" w:hAnsi="Trade Gothic;sans-serif"/>
                  <w:b w:val="false"/>
                  <w:strike w:val="false"/>
                  <w:dstrike w:val="false"/>
                  <w:color w:val="000000"/>
                  <w:sz w:val="20"/>
                  <w:u w:val="none"/>
                  <w:effect w:val="none"/>
                </w:rPr>
                <w:t>122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12.</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54">
              <w:r>
                <w:rPr>
                  <w:rStyle w:val="InternetLink"/>
                  <w:rFonts w:ascii="Trade Gothic;sans-serif" w:hAnsi="Trade Gothic;sans-serif"/>
                  <w:b/>
                  <w:color w:val="000080"/>
                  <w:sz w:val="20"/>
                  <w:u w:val="single"/>
                </w:rPr>
                <w:t>Security Ownership of Certain Beneficial Owner</w:t>
              </w:r>
            </w:hyperlink>
            <w:hyperlink w:anchor="ifaf54775e85441fc836f60bc7c4f1464_154">
              <w:r>
                <w:rPr>
                  <w:rStyle w:val="InternetLink"/>
                  <w:rFonts w:ascii="Trade Gothic;sans-serif" w:hAnsi="Trade Gothic;sans-serif"/>
                  <w:b/>
                  <w:color w:val="000080"/>
                  <w:sz w:val="20"/>
                  <w:u w:val="single"/>
                </w:rPr>
                <w:t>s</w:t>
              </w:r>
            </w:hyperlink>
            <w:hyperlink w:anchor="ifaf54775e85441fc836f60bc7c4f1464_154">
              <w:r>
                <w:rPr>
                  <w:rStyle w:val="InternetLink"/>
                  <w:rFonts w:ascii="Trade Gothic;sans-serif" w:hAnsi="Trade Gothic;sans-serif"/>
                  <w:b/>
                  <w:color w:val="000080"/>
                  <w:sz w:val="20"/>
                  <w:u w:val="single"/>
                </w:rPr>
                <w:t xml:space="preserve"> and Management and Related Stockholder Matters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54">
              <w:r>
                <w:rPr>
                  <w:rStyle w:val="InternetLink"/>
                  <w:rFonts w:ascii="Trade Gothic;sans-serif" w:hAnsi="Trade Gothic;sans-serif"/>
                  <w:b w:val="false"/>
                  <w:strike w:val="false"/>
                  <w:dstrike w:val="false"/>
                  <w:color w:val="000000"/>
                  <w:sz w:val="20"/>
                  <w:u w:val="none"/>
                  <w:effect w:val="none"/>
                </w:rPr>
                <w:t>139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13.</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57">
              <w:r>
                <w:rPr>
                  <w:rStyle w:val="InternetLink"/>
                  <w:rFonts w:ascii="Trade Gothic;sans-serif" w:hAnsi="Trade Gothic;sans-serif"/>
                  <w:b/>
                  <w:color w:val="3051F2"/>
                  <w:sz w:val="20"/>
                  <w:u w:val="single"/>
                </w:rPr>
                <w:t>Certain Relationships and Related Transactions, and Director Independence</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57">
              <w:r>
                <w:rPr>
                  <w:rStyle w:val="InternetLink"/>
                  <w:rFonts w:ascii="Trade Gothic;sans-serif" w:hAnsi="Trade Gothic;sans-serif"/>
                  <w:b w:val="false"/>
                  <w:strike w:val="false"/>
                  <w:dstrike w:val="false"/>
                  <w:color w:val="000000"/>
                  <w:sz w:val="20"/>
                  <w:u w:val="none"/>
                  <w:effect w:val="none"/>
                </w:rPr>
                <w:t>142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14.</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60">
              <w:r>
                <w:rPr>
                  <w:rStyle w:val="InternetLink"/>
                  <w:rFonts w:ascii="Trade Gothic;sans-serif" w:hAnsi="Trade Gothic;sans-serif"/>
                  <w:b/>
                  <w:color w:val="3051F2"/>
                  <w:sz w:val="20"/>
                  <w:u w:val="single"/>
                </w:rPr>
                <w:t>Principal Accounting Fees and Services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60">
              <w:r>
                <w:rPr>
                  <w:rStyle w:val="InternetLink"/>
                  <w:rFonts w:ascii="Trade Gothic;sans-serif" w:hAnsi="Trade Gothic;sans-serif"/>
                  <w:b w:val="false"/>
                  <w:strike w:val="false"/>
                  <w:dstrike w:val="false"/>
                  <w:color w:val="000000"/>
                  <w:sz w:val="20"/>
                  <w:u w:val="none"/>
                  <w:effect w:val="none"/>
                </w:rPr>
                <w:t>144</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PART IV</w:t>
            </w:r>
          </w:p>
        </w:tc>
        <w:tc>
          <w:tcPr>
            <w:tcW w:w="8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15.</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66">
              <w:r>
                <w:rPr>
                  <w:rStyle w:val="InternetLink"/>
                  <w:rFonts w:ascii="Trade Gothic;sans-serif" w:hAnsi="Trade Gothic;sans-serif"/>
                  <w:b/>
                  <w:color w:val="3051F2"/>
                  <w:sz w:val="20"/>
                  <w:u w:val="single"/>
                </w:rPr>
                <w:t>Exhibits, Financial Statement Schedules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66">
              <w:r>
                <w:rPr>
                  <w:rStyle w:val="InternetLink"/>
                  <w:rFonts w:ascii="Trade Gothic;sans-serif" w:hAnsi="Trade Gothic;sans-serif"/>
                  <w:b w:val="false"/>
                  <w:strike w:val="false"/>
                  <w:dstrike w:val="false"/>
                  <w:color w:val="000000"/>
                  <w:sz w:val="20"/>
                  <w:u w:val="none"/>
                  <w:effect w:val="none"/>
                </w:rPr>
                <w:t>146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16.</w:t>
            </w:r>
          </w:p>
        </w:tc>
        <w:tc>
          <w:tcPr>
            <w:tcW w:w="8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169">
              <w:r>
                <w:rPr>
                  <w:rStyle w:val="InternetLink"/>
                  <w:rFonts w:ascii="Trade Gothic;sans-serif" w:hAnsi="Trade Gothic;sans-serif"/>
                  <w:b/>
                  <w:color w:val="3051F2"/>
                  <w:sz w:val="20"/>
                  <w:u w:val="single"/>
                </w:rPr>
                <w:t>Form 10-K Summary</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169">
              <w:r>
                <w:rPr>
                  <w:rStyle w:val="InternetLink"/>
                  <w:rFonts w:ascii="Trade Gothic;sans-serif" w:hAnsi="Trade Gothic;sans-serif"/>
                  <w:b w:val="false"/>
                  <w:strike w:val="false"/>
                  <w:dstrike w:val="false"/>
                  <w:color w:val="000000"/>
                  <w:sz w:val="20"/>
                  <w:u w:val="none"/>
                  <w:effect w:val="none"/>
                </w:rPr>
                <w:t>148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0335"/>
                <wp:effectExtent l="0" t="0" r="0" b="0"/>
                <wp:wrapNone/>
                <wp:docPr id="2" name="Frame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SPECIAL NOTE REGARDING FORWARD-LOOKING STATEMENTS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This Annual Report on Form 10-K (the Annual Report), including the sections titled “Risk Factors,” “Management’s Discussion and Analysis of Financial Condition and Results of Operations,” and “Business,” contains forward-looking statements within the meaning of the federal securities laws, which statements involve substantial risks and uncertainties and are based on estimates and assumptions. All statements other than statements of historical fact contained in this Annual Report, including statements regarding our plans, objectives, goals, strategies, future events, future revenues or performance, financing needs, plans, or intentions relating to product candidates and markets and business trends are forward-looking statements. In some cases, you can identify forward-looking statements because they contain words such as “may,” “will,” “should,” “expect,” “plan,” “anticipate,” “could,” “intend,” “target,” “project,” “contemplate,” “believe,” “estimate,” “predict,” “potential”, “aim” or “continue” or the negative of these words or other similar terms or expressions that concern our expectations, strategy, plans or intentions.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contained in this Annual Report include, but are not limited to, statements about: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likelihood of our clinical trials demonstrating safety and efficacy of our product candidates, and other positive results;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progress and results of our ongoing and planned clinical trials for our current product candidates, including statements regarding enrollment, the timing of completion of trials, and the reporting of data from our current trials, as well as the timing, progress and results of our current and future preclinical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the clinical development of our product candidates, including the size, number and areas to be evaluated;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estimates regarding the total addressable market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commercializing our product candidates, if approved, including the geographic areas of focus and sales strategy;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competitive position and the success of competing products that are or may become available;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rate and degree of market acceptance by physicians, surgeons and patients, including the perceived clinical utility of our current product candidates and other product candidates we may develop;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need to hire additional personnel and our ability to attract and retain such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scope and likelihood of regulatory filings and approvals for our current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obtain and maintain regulatory approval of our product candidates, including our lead product candidate, the Bimatoprost Drug Pad-IOL System (the BIM-IOL System);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expectations regarding third-party coverage, reimbursement policies and pricing regulations applicable to our product candidates,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the further development and manufacturing of our product candidates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impact of existing laws and regulations and regulatory developments in the United States and other jurisdictions;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maintain compliance with our license agreement with the Regents of the University of Colorado, including efforts to meet the development and commercial milestones thereunder, and otherwise maintain our intellectual property rights thereunder;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intellectual property position, including the scope of protection we are able to establish and maintain for intellectual property rights covering our current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continued reliance on third parties to conduct additional clinical trials of our product candidates, and for the manufacture of our product candidates for clinical trials and commercialization of our product candidates,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accuracy of our estimates regarding expenses, future revenue, capital requirements and needs for additional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0335"/>
                <wp:effectExtent l="0" t="0" r="0" b="0"/>
                <wp:wrapNone/>
                <wp:docPr id="3" name="Frame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financial performance;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period over which we estimate our existing cash and cash equivalents and short-term investments will be sufficient to fund our future operating expenses and capital expenditure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expectations regarding the period during which we will remain an emerging growth company and smaller reporting company under the Jumpstart Our Business Startups Acts of 2012, as amended (the JOBS Act);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remediating the material weakness in our internal control over financial reporting.</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We caution you that the foregoing list may not contain all of the forward-looking statements made in this Annual Report.</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You should not rely upon forward-looking statements as predictions of future events. We have based the forward-looking statements contained in this Annual Report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Neither we nor any other person assumes responsibility for the accuracy and completeness of any of these forward-looking statements. Moreover, 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0335"/>
                <wp:effectExtent l="0" t="0" r="0" b="0"/>
                <wp:wrapNone/>
                <wp:docPr id="4" name="Frame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 </w:t>
      </w:r>
      <w:hyperlink w:anchor="ifaf54775e85441fc836f60bc7c4f1464_13">
        <w:r>
          <w:rPr>
            <w:rStyle w:val="InternetLink"/>
          </w:rPr>
          <w:t>Busines</w:t>
        </w:r>
      </w:hyperlink>
      <w:hyperlink w:anchor="ifaf54775e85441fc836f60bc7c4f1464_13">
        <w:r>
          <w:rPr>
            <w:rStyle w:val="InternetLink"/>
          </w:rPr>
          <w: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Overview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 late-stage biopharmaceutical company dedicated to transforming the treatment paradigm for patients living with chronic eye conditions through long-acting, sustained drug delivery of approved medicines. Our mission is to significantly improve the lives of patients with chronic eye conditions by developing durable drug delivery solutions that can empower patients and surgeons with confidence in long-term disease control and vision preservation.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Bimatoprost Drug Pad-IOL System (BIM-IOL System), comprising novel, proprietary drug pads attached to our intraocular lens (IOL), is designed to be implanted during routine cataract surgery to reduce elevated intraocular pressure (IOP) in patients who have either open-angle glaucoma (OAG) or ocular hypertension (OHT). The BIM-IOL System is designed to consistently deliver three years of bimatoprost, a prostaglandin analog (PGA) approved for topical use by the U.S. Food &amp; Drug Administration (FDA) in 2001 for the reduction of elevated IOP in patients with OAG or OHT. We are also developing a non-IOL-based, ring-shaped, sustained-release implant with bimatoprost, which we believe could be implanted in a standalone procedure, enable retreatment of patients who have received the BIM-IOL System, and offer extended care to patients with OAG or OHT who already received a prior cataract surgery (these patients who have had their IOLs replaced with artificial IOLs are referred to as pseudophakes or pseudophakic patients).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our first-in-human (FIH) feasibility clinical trial, evaluable patients who received the BIM-IOL System achieved a mean IOP reduction of 37% at 36 months with no product-related adverse events (AEs). 95% of evaluable patients were off all topical IOP-lowering drops at 36 months, which we believe highlights the potential for long-term independence from such medications. In our Phase 1/2 multicenter, randomized, controlled trial, which is evaluating the safety and efficacy of the BIM-IOL System, patients who received the BIM-IOL System in the 78 mcg and 39 mcg dose groups achieved mean IOP reductions of 37% and 36%, respectively, at three months and sustained similar rates of mean IOP reduction at twelve months. 97% of treated patients were off topical IOP-lowering drops at three and twelve months, and the BIM-IOL System was observed to be well tolerated at both three and twelve months. In July 2025, we initiated two registrational Phase 3 trials, each expected to enroll approximately 400 patients across 45 sites. We expect to complete enrollment in 2027 and, pending successful Phase 3 results, we plan to submit a 505(b)(2) New Drug Application (NDA) to the FDA in 2028. There is no guarantee that our trials will produce positive results or be consistent with past trial results, and FDA approval is not guaranteed and the regulatory process may take longer than anticipated. </w:t>
      </w:r>
    </w:p>
    <w:p>
      <w:pPr>
        <w:pStyle w:val="TextBody"/>
        <w:bidi w:val="0"/>
        <w:spacing w:lineRule="auto" w:line="288" w:before="0" w:after="240"/>
        <w:jc w:val="left"/>
        <w:rPr/>
      </w:pPr>
      <w:r>
        <w:rPr>
          <w:rFonts w:ascii="Trade Gothic;sans-serif" w:hAnsi="Trade Gothic;sans-serif"/>
          <w:b w:val="false"/>
          <w:color w:val="000000"/>
          <w:sz w:val="19"/>
        </w:rPr>
        <w:t>Glaucoma is a chronic, progressive disease that is primarily caused by impaired drainage of aqueous humor–the fluid inside the eye–which can lead to elevated IOP. Sustained elevation of IOP can damage the optic nerve, resulting in permanent vision loss. Despite the availability of numerous medical and surgical interventions, glaucoma remains a leading cause of irreversible blindness. Glaucoma is often asymptomatic and frequently undiagnosed until significant vision loss has occurred. Disease progression after diagnosis is also common due to poor patient adherence to the current standard of care, which involves daily administration of IOP-lowering topical eye drop medications. For example, up to 80% of patients are non-compliant with their prescribed topical medications, and nearly 50% of patients discontinue use within one year</w:t>
      </w:r>
      <w:r>
        <w:rPr>
          <w:rFonts w:ascii="Trade Gothic;sans-serif" w:hAnsi="Trade Gothic;sans-serif"/>
          <w:b w:val="false"/>
          <w:color w:val="000000"/>
          <w:sz w:val="12"/>
        </w:rPr>
        <w:t>1</w:t>
      </w:r>
      <w:r>
        <w:rPr>
          <w:rFonts w:ascii="Trade Gothic;sans-serif" w:hAnsi="Trade Gothic;sans-serif"/>
          <w:b w:val="false"/>
          <w:color w:val="000000"/>
          <w:sz w:val="19"/>
        </w:rPr>
        <w:t xml:space="preserve">. When topical medications fail to adequately control IOP, surgical intervention, such as minimally invasive glaucoma surgery (MIGS), may be recommended. While these procedures can help to manage IOP, they often require separate appointments with glaucoma specialists or cataract surgeons with specialized training. Out of the 10,000 cataract surgeons reported by </w:t>
      </w:r>
      <w:r>
        <w:rPr>
          <w:rFonts w:ascii="Trade Gothic;sans-serif" w:hAnsi="Trade Gothic;sans-serif"/>
          <w:b w:val="false"/>
          <w:i/>
          <w:color w:val="000000"/>
          <w:sz w:val="19"/>
        </w:rPr>
        <w:t>MarketScope 2025 Global Glaucoma Device Report</w:t>
      </w:r>
      <w:r>
        <w:rPr>
          <w:color w:val="000000"/>
        </w:rPr>
        <w:t xml:space="preserve"> </w:t>
      </w:r>
      <w:r>
        <w:rPr>
          <w:rFonts w:ascii="Trade Gothic;sans-serif" w:hAnsi="Trade Gothic;sans-serif"/>
          <w:b w:val="false"/>
          <w:color w:val="000000"/>
          <w:sz w:val="19"/>
        </w:rPr>
        <w:t>to be currently active in the United States, we estimate</w:t>
      </w:r>
      <w:r>
        <w:rPr>
          <w:rFonts w:ascii="Trade Gothic;sans-serif" w:hAnsi="Trade Gothic;sans-serif"/>
          <w:b w:val="false"/>
          <w:color w:val="000000"/>
          <w:sz w:val="12"/>
        </w:rPr>
        <w:t>2</w:t>
      </w:r>
      <w:r>
        <w:rPr>
          <w:color w:val="000000"/>
        </w:rPr>
        <w:t xml:space="preserve"> </w:t>
      </w:r>
      <w:r>
        <w:rPr>
          <w:rFonts w:ascii="Trade Gothic;sans-serif" w:hAnsi="Trade Gothic;sans-serif"/>
          <w:b w:val="false"/>
          <w:color w:val="000000"/>
          <w:sz w:val="19"/>
        </w:rPr>
        <w:t>that only one-third perform MIGS procedures routinely, which we define as at least two procedures per month. We believe that this low participation rate is due to several factors, including the need for specialized skills and training, technical discomfort, and workflow disruption. Taken together, we believe there is a significant unmet need for a long-term IOP-lowering therapy that is easy to administer and reduces reliance on patient adherence.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BIM-IOL System is designed to address key limitations of current glaucoma care by enabling all cataract surgeons, not just those trained in MIGS, to treat elevated IOP when performing their routine cataract procedures, thereby reducing the reliance on patient adherence to topical medications in managing IOP. The BIM-IOL System is designed </w:t>
      </w:r>
    </w:p>
    <w:p>
      <w:pPr>
        <w:pStyle w:val="TextBody"/>
        <w:bidi w:val="0"/>
        <w:spacing w:lineRule="auto" w:line="288" w:before="0" w:after="160"/>
        <w:ind w:left="0" w:right="0" w:hanging="331"/>
        <w:jc w:val="left"/>
        <w:rPr/>
      </w:pPr>
      <w:r>
        <w:rPr>
          <w:rFonts w:ascii="Trade Gothic;sans-serif" w:hAnsi="Trade Gothic;sans-serif"/>
          <w:b w:val="false"/>
          <w:color w:val="000000"/>
          <w:sz w:val="11"/>
        </w:rPr>
        <w:t>1</w:t>
      </w:r>
      <w:r>
        <w:rPr>
          <w:color w:val="000000"/>
        </w:rPr>
        <w:t>     </w:t>
      </w:r>
      <w:r>
        <w:rPr>
          <w:rFonts w:ascii="Trade Gothic;sans-serif" w:hAnsi="Trade Gothic;sans-serif"/>
          <w:b w:val="false"/>
          <w:color w:val="000000"/>
          <w:sz w:val="17"/>
        </w:rPr>
        <w:t xml:space="preserve">Baudouin et al., Adherence and Persistence on Prostaglandin Analogues for Glaucoma: A Systematic Review and Meta-Analysis, </w:t>
      </w:r>
      <w:r>
        <w:rPr>
          <w:rFonts w:ascii="Trade Gothic;sans-serif" w:hAnsi="Trade Gothic;sans-serif"/>
          <w:b w:val="false"/>
          <w:i/>
          <w:color w:val="000000"/>
          <w:sz w:val="17"/>
        </w:rPr>
        <w:t>American Journal of Ophthalmology</w:t>
      </w:r>
      <w:r>
        <w:rPr>
          <w:color w:val="000000"/>
        </w:rPr>
        <w:t xml:space="preserve"> </w:t>
      </w:r>
      <w:r>
        <w:rPr>
          <w:rFonts w:ascii="Trade Gothic;sans-serif" w:hAnsi="Trade Gothic;sans-serif"/>
          <w:b w:val="false"/>
          <w:color w:val="000000"/>
          <w:sz w:val="17"/>
        </w:rPr>
        <w:t>(July 2025) https://doi.org/10.1016/j.ajo.2025.03.025 concluding that suboptimal adherence and persistence with prostaglandin analogues (PGAs) are common, with further decreases over time, and that procedural glaucoma treatments that do not depend on daily patient engagement with topical medicines may be needed.</w:t>
      </w:r>
    </w:p>
    <w:p>
      <w:pPr>
        <w:pStyle w:val="TextBody"/>
        <w:bidi w:val="0"/>
        <w:spacing w:lineRule="auto" w:line="288" w:before="0" w:after="0"/>
        <w:jc w:val="left"/>
        <w:rPr/>
      </w:pPr>
      <w:r>
        <w:rPr>
          <w:rFonts w:ascii="Trade Gothic;sans-serif" w:hAnsi="Trade Gothic;sans-serif"/>
          <w:b w:val="false"/>
          <w:color w:val="000000"/>
          <w:sz w:val="11"/>
        </w:rPr>
        <w:t>2</w:t>
      </w:r>
      <w:r>
        <w:rPr>
          <w:color w:val="000000"/>
        </w:rPr>
        <w:t>     </w:t>
      </w:r>
      <w:r>
        <w:rPr>
          <w:rFonts w:ascii="Trade Gothic;sans-serif" w:hAnsi="Trade Gothic;sans-serif"/>
          <w:b w:val="false"/>
          <w:color w:val="000000"/>
          <w:sz w:val="17"/>
        </w:rPr>
        <w:t>Based on data taken from Definitive Healthcare Report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0335"/>
                <wp:effectExtent l="0" t="0" r="0" b="0"/>
                <wp:wrapNone/>
                <wp:docPr id="5" name="Frame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color w:val="000000"/>
          <w:sz w:val="19"/>
        </w:rPr>
        <w:t>for long-acting, sustained delivery of bimatoprost over three years, which we believe can reduce or eliminate the need for daily topical medications. In addition, we believe our BIM-IOL System has the potential to triple the number of cataract surgeons who treat OAG or OHT routinely at the time of cataract surgery by providing a solution that seamlessly integrates into the existing procedural workflow. This integration of therapy at the time of cataract surgery–one of the most frequently performed outpatient procedures in ambulatory surgery centers (ASCs) in the United States–</w:t>
      </w:r>
      <w:r>
        <w:rPr>
          <w:rFonts w:ascii="Trade Gothic;sans-serif" w:hAnsi="Trade Gothic;sans-serif"/>
          <w:b w:val="false"/>
          <w:color w:val="000000"/>
          <w:sz w:val="12"/>
        </w:rPr>
        <w:t>3</w:t>
      </w:r>
      <w:r>
        <w:rPr>
          <w:rFonts w:ascii="Trade Gothic;sans-serif" w:hAnsi="Trade Gothic;sans-serif"/>
          <w:b w:val="false"/>
          <w:color w:val="000000"/>
          <w:sz w:val="19"/>
        </w:rPr>
        <w:t xml:space="preserve">can also save patients from having to make additional appointments with glaucoma specialists.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By combining a known drug (bimatoprost), a known procedure (cataract surgery), and a known device type (IOL), the BIM-IOL System aims to deliver a solution that addresses both cataracts and elevated IOP in a single, streamlined intervention. We believe this approach positions us to pursue a streamlined regulatory approval process under the FDA’s 505(b)(2) pathway because the active ingredient in our BIM-IOL System, bimatoprost, has been previously approved by the FDA. In general, new drug products, including drug-led combination products, can come to the market in the United States through two FDA regulatory pathways: 505(b)(1) or 505(b)(2), which we describe in further detail in the section titled “Business—Government Regulation.” We note that for drug products, including drug-led combination products, where the active ingredient has been previously approved by the FDA or where there is published safety or effectiveness data that can be leveraged to support an NDA, the 505(b)(2) pathway can potentially be used to streamline the development process. We believe our approach is consistent with regulatory guidance from the FDA and we have communicated our strategy to seek approval via the 505(b)(2) pathway to the FDA. The FDA will ultimately determine our regulatory pathway following the submission of our 505(b)(2) NDA.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anticipate that use of the BIM-IOL System, if approved, will be reimbursed through established reimbursement pathways, including Medicare Part B coverage, and we intend to leverage existing Category I Current Procedural Terminology (CPT) codes for the cataract surgery and apply for a new J-code for the physician-administered drug. By supporting the treatment of two common conditions in a single intervention, we believe our BIM-IOL System could offer a compelling solution that can potentially enhance patient outcomes, simplify care delivery, and support provider economics. </w:t>
      </w:r>
    </w:p>
    <w:p>
      <w:pPr>
        <w:pStyle w:val="TextBody"/>
        <w:bidi w:val="0"/>
        <w:spacing w:lineRule="auto" w:line="288" w:before="0" w:after="240"/>
        <w:jc w:val="left"/>
        <w:rPr/>
      </w:pPr>
      <w:r>
        <w:rPr>
          <w:rFonts w:ascii="Trade Gothic;sans-serif" w:hAnsi="Trade Gothic;sans-serif"/>
          <w:b w:val="false"/>
          <w:color w:val="000000"/>
          <w:sz w:val="19"/>
        </w:rPr>
        <w:t>We estimate that the total addressable market in the United States for the BIM-IOL System is approximately $13 billion based on the estimated one million glaucoma and OHT patients expected to undergo cataract surgery in 2025</w:t>
      </w:r>
      <w:r>
        <w:rPr>
          <w:rFonts w:ascii="Trade Gothic;sans-serif" w:hAnsi="Trade Gothic;sans-serif"/>
          <w:b w:val="false"/>
          <w:color w:val="000000"/>
          <w:sz w:val="12"/>
        </w:rPr>
        <w:t>4</w:t>
      </w:r>
      <w:r>
        <w:rPr>
          <w:rFonts w:ascii="Trade Gothic;sans-serif" w:hAnsi="Trade Gothic;sans-serif"/>
          <w:b w:val="false"/>
          <w:color w:val="000000"/>
          <w:sz w:val="19"/>
        </w:rPr>
        <w:t>, the percentage of patients with glaucoma who have OAG</w:t>
      </w:r>
      <w:r>
        <w:rPr>
          <w:rFonts w:ascii="Trade Gothic;sans-serif" w:hAnsi="Trade Gothic;sans-serif"/>
          <w:b w:val="false"/>
          <w:color w:val="000000"/>
          <w:sz w:val="12"/>
        </w:rPr>
        <w:t>5</w:t>
      </w:r>
      <w:r>
        <w:rPr>
          <w:rFonts w:ascii="Trade Gothic;sans-serif" w:hAnsi="Trade Gothic;sans-serif"/>
          <w:b w:val="false"/>
          <w:color w:val="000000"/>
          <w:sz w:val="19"/>
        </w:rPr>
        <w:t>, and the wholesale acquisition cost for iDose TR. We aim to disrupt and expand the well-established glaucoma market by addressing two critical unmet needs: long-term therapeutic durability and improved patient adherence.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Our Pipeline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believe our novel drug delivery technology (the SpyGlass Platform) has the potential to significantly improve the lives of patients with chronic eye conditions. The SpyGlass Platform is designed to be used with various well-established, approved medicines, including bimatoprost and other small molecules, providing flexibility to potentially treat a range of conditions in the front and back of the eye. Our pipeline of key programs in development is depicted in the chart below. We retain exclusive worldwide development and commercialization rights to these programs. </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Our Pipeline</w:t>
      </w:r>
    </w:p>
    <w:p>
      <w:pPr>
        <w:pStyle w:val="TextBody"/>
        <w:bidi w:val="0"/>
        <w:spacing w:before="0" w:after="300"/>
        <w:jc w:val="center"/>
        <w:rPr/>
      </w:pPr>
      <w:r>
        <w:rPr/>
        <w:drawing>
          <wp:inline distT="0" distB="0" distL="0" distR="0">
            <wp:extent cx="5381625" cy="13716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381625" cy="1371600"/>
                    </a:xfrm>
                    <a:prstGeom prst="rect">
                      <a:avLst/>
                    </a:prstGeom>
                  </pic:spPr>
                </pic:pic>
              </a:graphicData>
            </a:graphic>
          </wp:inline>
        </w:drawing>
      </w:r>
      <w:bookmarkStart w:id="0" w:name="i-1"/>
      <w:bookmarkEnd w:id="0"/>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initially leveraging the SpyGlass Platform to develop two novel drug delivery systems to be implanted into the anterior segment of the eye. Our first system in development comprises novel drug pads attached to our IOL (Drug Pad-IOL System), both of which are non-bioerodible, meaning that these components do not break down and they retain their structure and shape as the system elutes medicine. Our lead product candidate, the BIM-IOL System, is based on </w:t>
      </w:r>
    </w:p>
    <w:p>
      <w:pPr>
        <w:pStyle w:val="TextBody"/>
        <w:bidi w:val="0"/>
        <w:spacing w:lineRule="auto" w:line="288" w:before="0" w:after="160"/>
        <w:jc w:val="left"/>
        <w:rPr/>
      </w:pPr>
      <w:r>
        <w:rPr>
          <w:rFonts w:ascii="Trade Gothic;sans-serif" w:hAnsi="Trade Gothic;sans-serif"/>
          <w:b w:val="false"/>
          <w:color w:val="000000"/>
          <w:sz w:val="11"/>
        </w:rPr>
        <w:t>3</w:t>
      </w:r>
      <w:r>
        <w:rPr>
          <w:color w:val="000000"/>
        </w:rPr>
        <w:t>    </w:t>
      </w:r>
      <w:r>
        <w:rPr>
          <w:rFonts w:ascii="Trade Gothic;sans-serif" w:hAnsi="Trade Gothic;sans-serif"/>
          <w:b w:val="false"/>
          <w:color w:val="000000"/>
          <w:sz w:val="17"/>
        </w:rPr>
        <w:t>Based on 2025 data taken from DefinitiveHealthcare.com</w:t>
      </w:r>
    </w:p>
    <w:p>
      <w:pPr>
        <w:pStyle w:val="TextBody"/>
        <w:bidi w:val="0"/>
        <w:spacing w:lineRule="auto" w:line="288" w:before="0" w:after="160"/>
        <w:jc w:val="left"/>
        <w:rPr/>
      </w:pPr>
      <w:r>
        <w:rPr>
          <w:rFonts w:ascii="Trade Gothic;sans-serif" w:hAnsi="Trade Gothic;sans-serif"/>
          <w:b w:val="false"/>
          <w:color w:val="000000"/>
          <w:sz w:val="11"/>
        </w:rPr>
        <w:t>4</w:t>
      </w:r>
      <w:r>
        <w:rPr>
          <w:color w:val="000000"/>
        </w:rPr>
        <w:t>    </w:t>
      </w:r>
      <w:r>
        <w:rPr>
          <w:rFonts w:ascii="Trade Gothic;sans-serif" w:hAnsi="Trade Gothic;sans-serif"/>
          <w:b w:val="false"/>
          <w:color w:val="000000"/>
          <w:sz w:val="17"/>
        </w:rPr>
        <w:t>MarketScope 2025 Global Glaucoma Device Report</w:t>
      </w:r>
    </w:p>
    <w:p>
      <w:pPr>
        <w:pStyle w:val="TextBody"/>
        <w:bidi w:val="0"/>
        <w:spacing w:lineRule="auto" w:line="288" w:before="0" w:after="0"/>
        <w:jc w:val="left"/>
        <w:rPr/>
      </w:pPr>
      <w:r>
        <w:rPr>
          <w:rFonts w:ascii="Trade Gothic;sans-serif" w:hAnsi="Trade Gothic;sans-serif"/>
          <w:b w:val="false"/>
          <w:color w:val="000000"/>
          <w:sz w:val="11"/>
        </w:rPr>
        <w:t>5</w:t>
      </w:r>
      <w:r>
        <w:rPr>
          <w:color w:val="000000"/>
        </w:rPr>
        <w:t>    </w:t>
      </w:r>
      <w:r>
        <w:rPr>
          <w:rFonts w:ascii="Trade Gothic;sans-serif" w:hAnsi="Trade Gothic;sans-serif"/>
          <w:b w:val="false"/>
          <w:color w:val="000000"/>
          <w:sz w:val="17"/>
        </w:rPr>
        <w:t>According to the National Eye Institute, OAG accounts for approximately 90% of glaucoma cases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0335"/>
                <wp:effectExtent l="0" t="0" r="0" b="0"/>
                <wp:wrapNone/>
                <wp:docPr id="7" name="Frame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Drug Pad-IOL System and is designed to consistently deliver three years of bimatoprost. Bimatoprost is a PGA approved for topical use by the FDA in 2001 for the reduction of elevated IOP in patients with OAG or OHT. We believe this product candidate will be regulated by the FDA as a drug-led, drug-device combination product. We recently initiated two registrational Phase 3 clinical trials. We expect to complete enrollment in 2027 and, pending successful Phase 3 results, we plan to submit a 505(b)(2) NDA to the FDA in 2028.</w:t>
      </w:r>
    </w:p>
    <w:p>
      <w:pPr>
        <w:pStyle w:val="TextBody"/>
        <w:bidi w:val="0"/>
        <w:spacing w:lineRule="auto" w:line="288" w:before="0" w:after="240"/>
        <w:jc w:val="left"/>
        <w:rPr/>
      </w:pPr>
      <w:r>
        <w:rPr>
          <w:rFonts w:ascii="Trade Gothic;sans-serif" w:hAnsi="Trade Gothic;sans-serif"/>
          <w:b w:val="false"/>
          <w:color w:val="000000"/>
          <w:sz w:val="19"/>
        </w:rPr>
        <w:t xml:space="preserve">Our second system in development is a novel, non-bioerodible, non-IOL-based, ring-shaped, sustained-release implant (Drug Ring System or DRS), which we are initially developing to consistently deliver at least three years of bimatoprost (BIM-DRS). We believe the BIM-DRS could be implanted in a standalone procedure, enable retreatment of patients who had received the BIM-IOL System, and offer extended care for pseudophakic patients with OAG or OHT. This system is engineered to be removable and replaceable, potentially allowing for continuous care over a patient’s lifetime. In </w:t>
      </w:r>
      <w:r>
        <w:rPr>
          <w:rFonts w:ascii="Trade Gothic;sans-serif" w:hAnsi="Trade Gothic;sans-serif"/>
          <w:b w:val="false"/>
          <w:i/>
          <w:color w:val="000000"/>
          <w:sz w:val="19"/>
        </w:rPr>
        <w:t>ex vivo</w:t>
      </w:r>
      <w:r>
        <w:rPr>
          <w:color w:val="000000"/>
        </w:rPr>
        <w:t xml:space="preserve"> </w:t>
      </w:r>
      <w:r>
        <w:rPr>
          <w:rFonts w:ascii="Trade Gothic;sans-serif" w:hAnsi="Trade Gothic;sans-serif"/>
          <w:b w:val="false"/>
          <w:color w:val="000000"/>
          <w:sz w:val="19"/>
        </w:rPr>
        <w:t xml:space="preserve">studies, we have observed compatibility and positioning of the system in the human eye, and animal studies are currently underway. Subject to the outcomes of these animal studies, we plan to advance the BIM-DRS into FIH trials in 2026.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Beyond bimatoprost, we are conducting market feasibility and technical viability assessments for the use of our technology to target highly prevalent eye conditions that could benefit from sustained-release drug delivery, including age-related macular degeneration (AMD), postoperative eye care and chronic uveitis. Additionally, our Drug Pad-IOL System is designed to be compatible with most IOL materials and optical designs. While we believe, based on management projections and internal estimates, that 90% of glaucoma patients receive standard monofocal (or single focus) IOLs during cataract surgery, we are designing for a range of optics, including premium IOLs. </w:t>
      </w:r>
    </w:p>
    <w:p>
      <w:pPr>
        <w:pStyle w:val="TextBody"/>
        <w:bidi w:val="0"/>
        <w:spacing w:lineRule="auto" w:line="288" w:before="240" w:after="80"/>
        <w:jc w:val="left"/>
        <w:rPr>
          <w:rFonts w:ascii="Trade Gothic;sans-serif" w:hAnsi="Trade Gothic;sans-serif"/>
          <w:b/>
          <w:color w:val="000000"/>
          <w:sz w:val="19"/>
        </w:rPr>
      </w:pPr>
      <w:r>
        <w:rPr>
          <w:rFonts w:ascii="Trade Gothic;sans-serif" w:hAnsi="Trade Gothic;sans-serif"/>
          <w:b/>
          <w:color w:val="000000"/>
          <w:sz w:val="19"/>
        </w:rPr>
        <w:t>Our Strengths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the success of our efforts will be driven by the following differentiating factors: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Lead Product Candidate with Positive Preliminary and Interim Data through 36 Months.</w:t>
      </w:r>
      <w:r>
        <w:rPr>
          <w:color w:val="000000"/>
        </w:rPr>
        <w:t xml:space="preserve"> </w:t>
      </w:r>
      <w:r>
        <w:rPr>
          <w:rFonts w:ascii="Trade Gothic;sans-serif" w:hAnsi="Trade Gothic;sans-serif"/>
          <w:b w:val="false"/>
          <w:color w:val="000000"/>
          <w:sz w:val="19"/>
        </w:rPr>
        <w:t>Our lead product candidate, the BIM-IOL System, combines a known drug (bimatoprost), a known procedure (cataract surgery), and a known device type (IOL). To date, this system has demonstrated sustained IOP reduction and visual acuity improvements in both our FIH trial and our Phase 1/2 trial at 36 and twelve months, respectively. In our FIH trial, evaluable patients who received the BIM-IOL System achieved a mean IOP reduction of 37% compared to baseline at 36 months with no product-related AEs. 95% of evaluable patients were off all topical IOP-lowering eye drops at 36 months, which we believe highlights the potential for long-term independence from such medications. In our Phase 1/2 trial, patients who received the BIM-IOL System in the 78 mcg and 39 mcg dose groups achieved a mean IOP reduction of 37% and 36%, respectively, compared to baseline at three months and sustained similar rates of mean IOP reduction at twelve months. 97% of treated patients were off topical IOP-lowering eye drops at three and twelve months. In July 2025, we initiated two registrational Phase 3 clinical trials. We expect to complete enrollment in 2027 and, pending successful Phase 3 results, we plan to submit a 505(b)(2) NDA to the FDA in 2028. There is no guarantee that our trials will produce positive results or be consistent with past trial results, and FDA approval is not guaranteed and the regulatory process may take longer than anticipated.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Consistent and Predictable Drug Delivery Profile.</w:t>
      </w:r>
      <w:r>
        <w:rPr>
          <w:color w:val="000000"/>
        </w:rPr>
        <w:t xml:space="preserve"> </w:t>
      </w:r>
      <w:r>
        <w:rPr>
          <w:rFonts w:ascii="Trade Gothic;sans-serif" w:hAnsi="Trade Gothic;sans-serif"/>
          <w:b w:val="false"/>
          <w:color w:val="000000"/>
          <w:sz w:val="19"/>
        </w:rPr>
        <w:t xml:space="preserve">The SpyGlass Platform is designed to enable consistent and predictable drug release over multiple years and deliver therapeutic effect with ultralow doses. Long-term </w:t>
      </w:r>
      <w:r>
        <w:rPr>
          <w:rFonts w:ascii="Trade Gothic;sans-serif" w:hAnsi="Trade Gothic;sans-serif"/>
          <w:b w:val="false"/>
          <w:i/>
          <w:color w:val="000000"/>
          <w:sz w:val="19"/>
        </w:rPr>
        <w:t>in vitro</w:t>
      </w:r>
      <w:r>
        <w:rPr>
          <w:color w:val="000000"/>
        </w:rPr>
        <w:t xml:space="preserve"> </w:t>
      </w:r>
      <w:r>
        <w:rPr>
          <w:rFonts w:ascii="Trade Gothic;sans-serif" w:hAnsi="Trade Gothic;sans-serif"/>
          <w:b w:val="false"/>
          <w:color w:val="000000"/>
          <w:sz w:val="19"/>
        </w:rPr>
        <w:t>release studies have demonstrated that our BIM-IOL System delivers bimatoprost in a sustained and consistent manner over multiple years. This is further supported by our FIH trial data, which has demonstrated consistent IOP lowering through 36 months to date.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Utilizes Existing Techniques and Workflows Allowing for Adoption by All Cataract Surgeons.</w:t>
      </w:r>
      <w:r>
        <w:rPr>
          <w:color w:val="000000"/>
        </w:rPr>
        <w:t xml:space="preserve"> </w:t>
      </w:r>
      <w:r>
        <w:rPr>
          <w:rFonts w:ascii="Trade Gothic;sans-serif" w:hAnsi="Trade Gothic;sans-serif"/>
          <w:b w:val="false"/>
          <w:color w:val="000000"/>
          <w:sz w:val="19"/>
        </w:rPr>
        <w:t>The BIM-IOL System is designed to seamlessly integrate into the existing procedural workflow of routine cataract surgery and does not require the specialized techniques and training needed to perform MIGS procedures. This integration is expected to enable all cataract surgeons to treat OAG or OHT while performing their existing cataract procedures. We believe this approach has the potential to triple the number of cataract surgeons who treat OAG or OHT routinely at the time of cataract surgery, by enabling the two-thirds of cataract surgeons who do not perform MIGS procedures routinely due to the additional training and specialized techniques required. By integrating therapy into a familiar surgical workflow, the BIM-IOL System significantly lowers the barrier to adoption.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Favorable Payor Environment and Well-Established Reimbursement Model.</w:t>
      </w:r>
      <w:r>
        <w:rPr>
          <w:color w:val="000000"/>
        </w:rPr>
        <w:t xml:space="preserve"> </w:t>
      </w:r>
      <w:r>
        <w:rPr>
          <w:rFonts w:ascii="Trade Gothic;sans-serif" w:hAnsi="Trade Gothic;sans-serif"/>
          <w:b w:val="false"/>
          <w:color w:val="000000"/>
          <w:sz w:val="19"/>
        </w:rPr>
        <w:t xml:space="preserve">Our reimbursement model is aligned with existing cataract procedure coverage, reimbursement policies, and billing practices. We anticipate that the IOP-lowering aspect of the BIM-IOL System will be covered under Medicare Part B and billed using a new J-code, similar to other physician-administered drugs, which are typically reimbursed at the average selling price (ASP) plus 6%. We do not believe the implantation procedure will require a new procedure code.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0335"/>
                <wp:effectExtent l="0" t="0" r="0" b="0"/>
                <wp:wrapNone/>
                <wp:docPr id="8" name="Frame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jc w:val="left"/>
        <w:rPr>
          <w:rFonts w:ascii="Trade Gothic;sans-serif" w:hAnsi="Trade Gothic;sans-serif"/>
          <w:b w:val="false"/>
          <w:color w:val="000000"/>
          <w:sz w:val="19"/>
        </w:rPr>
      </w:pPr>
      <w:r>
        <w:rPr>
          <w:rFonts w:ascii="Trade Gothic;sans-serif" w:hAnsi="Trade Gothic;sans-serif"/>
          <w:b w:val="false"/>
          <w:color w:val="000000"/>
          <w:sz w:val="19"/>
        </w:rPr>
        <w:t>believe this creates a compelling opportunity for additional revenue streams for providers and facilities, including ASCs. By facilitating coverage and reimbursement via well-established mechanisms, we believe we will drive broad adoption for surgeons and facilities.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Novel, Proprietary, Scalable and Expandable Drug Delivery Platform.</w:t>
      </w:r>
      <w:r>
        <w:rPr>
          <w:color w:val="000000"/>
        </w:rPr>
        <w:t xml:space="preserve"> </w:t>
      </w:r>
      <w:r>
        <w:rPr>
          <w:rFonts w:ascii="Trade Gothic;sans-serif" w:hAnsi="Trade Gothic;sans-serif"/>
          <w:b w:val="false"/>
          <w:color w:val="000000"/>
          <w:sz w:val="19"/>
        </w:rPr>
        <w:t xml:space="preserve">The SpyGlass Platform is designed to integrate approved medicines into sustained-release systems. The platform is designed to be used with various medications, providing flexibility to potentially treat a range of indications. We are initially leveraging the SpyGlass Platform to develop two novel systems to be implanted into the anterior segment of the eye, our IOL-mounted Drug Pad-IOL System and our non-IOL-based DRS. Both systems are designed to enable sustained delivery of medicines to potentially treat a range of conditions in the front and back of the eye, starting with bimatoprost for the reduction of elevated IOP in patients with OAG or OHT. Our Drug Pad-IOL System is also designed to permit other lens configurations, which we believe could expand our addressable market beyond monofocal lenses. We believe the scalability of our platform positions us to address large patient populations with significant unmet need using well-established, approved medicines in a novel format. </w:t>
      </w:r>
    </w:p>
    <w:p>
      <w:pPr>
        <w:pStyle w:val="TextBody"/>
        <w:bidi w:val="0"/>
        <w:spacing w:lineRule="auto" w:line="288" w:before="0" w:after="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Established Team With a Proven Track Record of Developing and Launching Ophthalmic Pharmaceuticals, Drug-Device Combination Products, IOLs, and Products For Glaucoma Surgery.</w:t>
      </w:r>
      <w:r>
        <w:rPr>
          <w:color w:val="000000"/>
        </w:rPr>
        <w:t xml:space="preserve"> </w:t>
      </w:r>
      <w:r>
        <w:rPr>
          <w:rFonts w:ascii="Trade Gothic;sans-serif" w:hAnsi="Trade Gothic;sans-serif"/>
          <w:b w:val="false"/>
          <w:color w:val="000000"/>
          <w:sz w:val="19"/>
        </w:rPr>
        <w:t>Our team includes serial entrepreneurs and seasoned executives with deep expertise in ophthalmology, drug-device combination products, IOLs, and products for glaucoma surgery. Our founders, Malik Y. Kahook, M.D. and Glenn Sussman, have collaborated on innovative ophthalmic products for over two decades. Our broader leadership team has helped to develop, launch or commercialize several ophthalmic products, including Beovu, Durysta, Izervay, Kahook Dual Blade (KDB), Latisse, Lucentis Pre-filled Syringe (PFS), Ozurdex, Refresh eye drops, Systane Ultra, Travatan Z, and Vuity. Additionally, our commercial team has strong expertise in procedural and buy-and-bill reimbursement models in ophthalmology.</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Our Strategy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purpose-built to transform the management of chronic eye diseases through the following key strategic priorities: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Substantially Improve Patient Outcomes Through Use of Known Drugs, Procedures and Devices.</w:t>
      </w:r>
      <w:r>
        <w:rPr>
          <w:color w:val="000000"/>
        </w:rPr>
        <w:t xml:space="preserve"> </w:t>
      </w:r>
      <w:r>
        <w:rPr>
          <w:rFonts w:ascii="Trade Gothic;sans-serif" w:hAnsi="Trade Gothic;sans-serif"/>
          <w:b w:val="false"/>
          <w:color w:val="000000"/>
          <w:sz w:val="19"/>
        </w:rPr>
        <w:t>The SpyGlass Platform is designed to be used with various well-established, approved medicines, providing flexibility to potentially treat a range of conditions in the front and back of the eye. Our mission is to significantly improve the lives of patients with chronic eye conditions by developing durable drug delivery solutions that can empower patients and surgeons with confidence in long-term disease control and vision preservation. We plan to continue to leverage known drugs, known procedures and known device types to develop and advance the BIM-IOL System, BIM-DRS and any additional future product candidates through preclinical and clinical development. We believe our approach has the potential to expand access to care and improve patient outcomes.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Advance Our Lead Product Candidate Through Clinical Development for Registration.</w:t>
      </w:r>
      <w:r>
        <w:rPr>
          <w:color w:val="000000"/>
        </w:rPr>
        <w:t xml:space="preserve"> </w:t>
      </w:r>
      <w:r>
        <w:rPr>
          <w:rFonts w:ascii="Trade Gothic;sans-serif" w:hAnsi="Trade Gothic;sans-serif"/>
          <w:b w:val="false"/>
          <w:color w:val="000000"/>
          <w:sz w:val="19"/>
        </w:rPr>
        <w:t>We believe our approach positions us to pursue a streamlined regulatory approval process under the FDA’s 505(b)(2) pathway. In July 2025, we initiated two registrational Phase 3 clinical trials to evaluate our lead product candidate, the BIM-IOL System. Each clinical trial is expected to enroll approximately 400 patients across 45 sites. We expect to complete enrollment in 2027 and, pending successful Phase 3 results, we plan to submit a 505(b)(2) NDA to the FDA in 2028. There is no guarantee that our trials will produce positive results or be consistent with past trial results, and FDA approval is not guaranteed and the regulatory process may take longer than anticipated.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Enable Lifetime Durability to Complement our Lead Product Candidate.</w:t>
      </w:r>
      <w:r>
        <w:rPr>
          <w:color w:val="000000"/>
        </w:rPr>
        <w:t xml:space="preserve"> </w:t>
      </w:r>
      <w:r>
        <w:rPr>
          <w:rFonts w:ascii="Trade Gothic;sans-serif" w:hAnsi="Trade Gothic;sans-serif"/>
          <w:b w:val="false"/>
          <w:color w:val="000000"/>
          <w:sz w:val="19"/>
        </w:rPr>
        <w:t>We are developing the BIM-DRS, which leverages similar release kinetics as our BIM-IOL System, and which we believe could be implanted in a standalone procedure, enable retreatment of patients who have received the BIM-IOL System and offer extended care for pseudophakic patients with OAG or OHT. This system is engineered to be removable and replaceable, potentially allowing for continuous care over a patient’s lifetime. Subject to the outcomes of our ongoing animal studies, we plan to advance the BIM-DRS into FIH trials in 2026.</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Commercialize our BIM-IOL System and Leverage Deep Experience to Facilitate Coverage and Reimbursement and Support Provider Economics.</w:t>
      </w:r>
      <w:r>
        <w:rPr>
          <w:color w:val="000000"/>
        </w:rPr>
        <w:t xml:space="preserve"> </w:t>
      </w:r>
      <w:r>
        <w:rPr>
          <w:rFonts w:ascii="Trade Gothic;sans-serif" w:hAnsi="Trade Gothic;sans-serif"/>
          <w:b w:val="false"/>
          <w:color w:val="000000"/>
          <w:sz w:val="19"/>
        </w:rPr>
        <w:t xml:space="preserve">Surgeons and administrators need to have a high degree of reimbursement confidence to be comfortable purchasing buy-and-bill products and managing the reimbursement process. Members of our commercial team have previously built and deployed these market access service models successfully in other buy-and-bill ophthalmology launches. We will utilize that experience to design a robust market access service model for facilities and their administrative staff. We expect this approach to help accelerate adoption and facilitate patient access at launch. We will also leverage our team’s experience of successful ophthalmology product launches using the buy-and-bill business model and its proficiency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0335"/>
                <wp:effectExtent l="0" t="0" r="0" b="0"/>
                <wp:wrapNone/>
                <wp:docPr id="9" name="Frame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jc w:val="left"/>
        <w:rPr>
          <w:rFonts w:ascii="Trade Gothic;sans-serif" w:hAnsi="Trade Gothic;sans-serif"/>
          <w:b w:val="false"/>
          <w:color w:val="000000"/>
          <w:sz w:val="19"/>
        </w:rPr>
      </w:pPr>
      <w:r>
        <w:rPr>
          <w:rFonts w:ascii="Trade Gothic;sans-serif" w:hAnsi="Trade Gothic;sans-serif"/>
          <w:b w:val="false"/>
          <w:color w:val="000000"/>
          <w:sz w:val="19"/>
        </w:rPr>
        <w:t>educating customers, including ASCs, regarding the benefits of our product candidates and anticipated coverage and reimbursement.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Strengthen Our Global Intellectual Property Portfolio.</w:t>
      </w:r>
      <w:r>
        <w:rPr>
          <w:color w:val="000000"/>
        </w:rPr>
        <w:t xml:space="preserve"> </w:t>
      </w:r>
      <w:r>
        <w:rPr>
          <w:rFonts w:ascii="Trade Gothic;sans-serif" w:hAnsi="Trade Gothic;sans-serif"/>
          <w:b w:val="false"/>
          <w:color w:val="000000"/>
          <w:sz w:val="19"/>
        </w:rPr>
        <w:t>We have built a robust intellectual property (IP) portfolio covering drug elution, product design, medical methods, and packaging kits. In the United States and certain other jurisdictions, we co-own in-licensed issued patents protecting our pipeline assets that we expect to expire between 2039 and 2043, with additional applications pending across the United States, European Union, Japan, Australia and Canada. We intend to continue to strengthen our IP portfolio through filings for new formulations, dosing regimens, and methods of use, with additional protection from trade secrets and proprietary manufacturing processes.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Opportunistically Evaluate Strategic Partnerships to Maximize Platform Value.</w:t>
      </w:r>
      <w:r>
        <w:rPr>
          <w:color w:val="000000"/>
        </w:rPr>
        <w:t xml:space="preserve"> </w:t>
      </w:r>
      <w:r>
        <w:rPr>
          <w:rFonts w:ascii="Trade Gothic;sans-serif" w:hAnsi="Trade Gothic;sans-serif"/>
          <w:b w:val="false"/>
          <w:color w:val="000000"/>
          <w:sz w:val="19"/>
        </w:rPr>
        <w:t>Given the potential broad applicability of the SpyGlass Platform across ophthalmic indications, we plan to selectively evaluate strategic collaborations that could accelerate development, expand patient access, or unlock new therapeutic areas. We may also pursue partnerships with organizations that offer other medicines or complementary technologies, commercial infrastructure, or geographic reach.</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Our Company History and Team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SpyGlass Pharma was founded in 2019 by Malik Y. Kahook, M.D. and Glenn Sussman to solve the lack of ophthalmic innovations that capitalize on durable treatment options. The SpyGlass Platform was originally developed in the Sue Anschutz-Rodgers Eye Center at the University of Colorado Anschutz School of Medicine.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bring our mission to life and execute our strategic objectives, we have assembled a seasoned leadership team with extensive expertise in ophthalmology, drug delivery, IOL development and commercialization. Our chief executive officer, Patrick Mooney, has led several launches and commercialization efforts of ophthalmic pharmaceuticals and medical devices. Our co-founders, Malik Y. Kahook, M.D., our president and executive chair of the board, and Glenn Sussman, our chief technology advisor, have been creating ophthalmic innovations together for over 15 years, leveraging their respective clinical and product development skills.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scientific, engineering and commercial team members have significant experience in the development, approval, commercialization and reimbursement of IOLs, ophthalmic pharmaceutics, drug delivery methods, medical devices for ophthalmic surgery, and buy-and-bill products reimbursed under Medicare Part B, including multiple therapies to treat retinal diseases. Our team has helped develop, launch or commercialize several ophthalmic products, including Beovu, Durysta, Izervay, KDB, Latisse, Lucentis PFS, Ozurdex, Refresh eye drops, Systane Ultra, Travatan Z, and Vuity. We have also engaged a strong team of scientific advisors and leaders in cataract and glaucoma care.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team is further supported by a strong group of investors that are committed to development of long-term solutions to chronic eye conditions. Since inception, we have raised approximately $200 million in financing with a premier syndicate of investors, including New Enterprise Associates, RA Capital Management, Vensana Capital, Sands Capital, Gilde Healthcare, Samsara BioCapital, Vertex Ventures HC, and Astoria Health Investors.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Our Technology and Approach</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mission is to significantly improve the lives of patients with chronic eye conditions by developing durable drug delivery solutions that can empower patients and surgeons with confidence in long-term disease control and vision preservation.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SpyGlass Platform is designed to be used with various well-established, approved medicines, including bimatoprost and other small molecules, providing flexibility to potentially treat a range of conditions in the front and back of the eye. In preclinical studies and clinical trials, systems leveraging the SpyGlass Platform have demonstrated long-term, sustained delivery of established medicines in a manner that we believe is both convenient for patients and accessible to all cataract surgeons.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first system in development, the Drug Pad-IOL System, leverages the SpyGlass Platform and integrates approved medicines into two drug pads that are fixed to the haptic arms of our single-piece, hydrophobic acrylic IOL. The Drug Pad-IOL System is designed to seamlessly integrate into the existing procedural workflow of routine cataract surgery. In a typical procedure using this system (as depicted in the images below), the proprietary drug pads are securely attached at the haptic-optic junction of our IOL, which is then loaded into a standard IOL injector in the operating room (similar to current IOL preparatory procedures). Using routine cataract surgery techniques, the IOL is then injected through a standard cataract incision directly into the capsular bag of the eye. Once the Drug-Pad IOL System is positioned in the capsular bag, the drug pads remain outside the visual axis and deliver the integrated medicine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0335"/>
                <wp:effectExtent l="0" t="0" r="0" b="0"/>
                <wp:wrapNone/>
                <wp:docPr id="10" name="Frame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diffusion directly into the aqueous humor, which carries the drug to the targeted tissues. We believe the simplicity of the system has a number of benefits as described below.</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Step-By-Step Process for Preparation and Injection of Our Drug Pad-IOL System</w:t>
      </w:r>
    </w:p>
    <w:p>
      <w:pPr>
        <w:pStyle w:val="TextBody"/>
        <w:bidi w:val="0"/>
        <w:spacing w:before="0" w:after="0"/>
        <w:jc w:val="center"/>
        <w:rPr/>
      </w:pPr>
      <w:r>
        <w:rPr/>
        <w:drawing>
          <wp:inline distT="0" distB="0" distL="0" distR="0">
            <wp:extent cx="5029200" cy="9620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5029200" cy="962025"/>
                    </a:xfrm>
                    <a:prstGeom prst="rect">
                      <a:avLst/>
                    </a:prstGeom>
                  </pic:spPr>
                </pic:pic>
              </a:graphicData>
            </a:graphic>
          </wp:inline>
        </w:drawing>
      </w:r>
      <w:bookmarkStart w:id="1" w:name="i-2"/>
      <w:bookmarkEnd w:id="1"/>
    </w:p>
    <w:tbl>
      <w:tblPr>
        <w:tblW w:w="10205" w:type="dxa"/>
        <w:jc w:val="left"/>
        <w:tblInd w:w="0" w:type="dxa"/>
        <w:tblLayout w:type="fixed"/>
        <w:tblCellMar>
          <w:top w:w="28" w:type="dxa"/>
          <w:left w:w="28" w:type="dxa"/>
          <w:bottom w:w="28" w:type="dxa"/>
          <w:right w:w="28" w:type="dxa"/>
        </w:tblCellMar>
      </w:tblPr>
      <w:tblGrid>
        <w:gridCol w:w="1130"/>
        <w:gridCol w:w="994"/>
        <w:gridCol w:w="996"/>
        <w:gridCol w:w="109"/>
        <w:gridCol w:w="109"/>
        <w:gridCol w:w="109"/>
        <w:gridCol w:w="1099"/>
        <w:gridCol w:w="1099"/>
        <w:gridCol w:w="1101"/>
        <w:gridCol w:w="109"/>
        <w:gridCol w:w="109"/>
        <w:gridCol w:w="109"/>
        <w:gridCol w:w="914"/>
        <w:gridCol w:w="914"/>
        <w:gridCol w:w="130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8"/>
              </w:rPr>
            </w:pPr>
            <w:r>
              <w:rPr>
                <w:rFonts w:ascii="Trade Gothic;sans-serif" w:hAnsi="Trade Gothic;sans-serif"/>
                <w:b w:val="false"/>
                <w:color w:val="000000"/>
                <w:sz w:val="18"/>
              </w:rPr>
              <w:t>The system comprises our single-piece, hydrophobic acrylic IOL and two non-bioerodible drug pads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8"/>
              </w:rPr>
            </w:pPr>
            <w:r>
              <w:rPr>
                <w:rFonts w:ascii="Trade Gothic;sans-serif" w:hAnsi="Trade Gothic;sans-serif"/>
                <w:b w:val="false"/>
                <w:color w:val="000000"/>
                <w:sz w:val="18"/>
              </w:rPr>
              <w:t>The system is prepared by securing the two non-bioerodible drug pads at the haptic-optic junction of the IOL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rade Gothic;sans-serif" w:hAnsi="Trade Gothic;sans-serif"/>
                <w:b w:val="false"/>
                <w:color w:val="000000"/>
                <w:sz w:val="18"/>
              </w:rPr>
            </w:pPr>
            <w:r>
              <w:rPr>
                <w:rFonts w:ascii="Trade Gothic;sans-serif" w:hAnsi="Trade Gothic;sans-serif"/>
                <w:b w:val="false"/>
                <w:color w:val="000000"/>
                <w:sz w:val="18"/>
              </w:rPr>
              <w:t>The system is loaded into a standard IOL injector for delivery to the eye using routine cataract surgery techniques</w:t>
            </w:r>
          </w:p>
        </w:tc>
      </w:tr>
      <w:tr>
        <w:trPr/>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The Drug Pad-IOL System</w:t>
      </w:r>
    </w:p>
    <w:p>
      <w:pPr>
        <w:pStyle w:val="TextBody"/>
        <w:bidi w:val="0"/>
        <w:spacing w:before="0" w:after="0"/>
        <w:jc w:val="center"/>
        <w:rPr/>
      </w:pPr>
      <w:r>
        <w:rPr/>
        <w:drawing>
          <wp:inline distT="0" distB="0" distL="0" distR="0">
            <wp:extent cx="4838700" cy="220027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4838700" cy="2200275"/>
                    </a:xfrm>
                    <a:prstGeom prst="rect">
                      <a:avLst/>
                    </a:prstGeom>
                  </pic:spPr>
                </pic:pic>
              </a:graphicData>
            </a:graphic>
          </wp:inline>
        </w:drawing>
      </w:r>
      <w:bookmarkStart w:id="2" w:name="i-3"/>
      <w:bookmarkEnd w:id="2"/>
    </w:p>
    <w:tbl>
      <w:tblPr>
        <w:tblW w:w="10205" w:type="dxa"/>
        <w:jc w:val="left"/>
        <w:tblInd w:w="0" w:type="dxa"/>
        <w:tblLayout w:type="fixed"/>
        <w:tblCellMar>
          <w:top w:w="28" w:type="dxa"/>
          <w:left w:w="28" w:type="dxa"/>
          <w:bottom w:w="28" w:type="dxa"/>
          <w:right w:w="28" w:type="dxa"/>
        </w:tblCellMar>
      </w:tblPr>
      <w:tblGrid>
        <w:gridCol w:w="1872"/>
        <w:gridCol w:w="1647"/>
        <w:gridCol w:w="1651"/>
        <w:gridCol w:w="109"/>
        <w:gridCol w:w="109"/>
        <w:gridCol w:w="109"/>
        <w:gridCol w:w="1443"/>
        <w:gridCol w:w="1443"/>
        <w:gridCol w:w="1447"/>
        <w:gridCol w:w="109"/>
        <w:gridCol w:w="109"/>
        <w:gridCol w:w="157"/>
      </w:tblGrid>
      <w:tr>
        <w:trPr/>
        <w:tc>
          <w:tcPr>
            <w:tcW w:w="187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8"/>
              </w:rPr>
            </w:pPr>
            <w:r>
              <w:rPr>
                <w:rFonts w:ascii="Trade Gothic;sans-serif" w:hAnsi="Trade Gothic;sans-serif"/>
                <w:b w:val="false"/>
                <w:color w:val="000000"/>
                <w:sz w:val="18"/>
              </w:rPr>
              <w:t>The Drug Pad-IOL System has two non-bioerodible drug pads secured at the haptic-optic junction of the SpyGlass IOL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8"/>
              </w:rPr>
            </w:pPr>
            <w:r>
              <w:rPr>
                <w:rFonts w:ascii="Trade Gothic;sans-serif" w:hAnsi="Trade Gothic;sans-serif"/>
                <w:b w:val="false"/>
                <w:color w:val="000000"/>
                <w:sz w:val="18"/>
              </w:rPr>
              <w:t xml:space="preserve">Following cataract extraction, the Drug Pad-IOL System is implanted into the capsular bag of the eye </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BIM-IOL System, is based on our Drug Pad-IOL System. The drug pads of our BIM-IOL System are designed to consistently deliver three years of bimatoprost, a PGA approved for topical use by the FDA in 2001 for the reduction of elevated IOP in patients with OAG or OHT. Topical eye drops with bimatoprost have been safely administered to millions of patients worldwide. By combining a known drug (bimatoprost), a known procedure (cataract surgery), and a known device type (IOL), the BIM-IOL System aims to deliver a solution that addresses both cataracts and elevated IOP in a single, streamlined intervention.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the benefits of this approach include: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Long-term Drug Delivery That May Improve Outcomes.</w:t>
      </w:r>
      <w:r>
        <w:rPr>
          <w:color w:val="000000"/>
        </w:rPr>
        <w:t xml:space="preserve"> </w:t>
      </w:r>
      <w:r>
        <w:rPr>
          <w:rFonts w:ascii="Trade Gothic;sans-serif" w:hAnsi="Trade Gothic;sans-serif"/>
          <w:b w:val="false"/>
          <w:color w:val="000000"/>
          <w:sz w:val="19"/>
        </w:rPr>
        <w:t xml:space="preserve">The BIM-IOL System is designed to provide years of consistent and predictable drug delivery. In our FIH trial, evaluable patients who received the BIM-IOL System achieved a mean IOP reduction of 37% compared to baseline, 95% of evaluable patients were off all topical IOP-lowering eye drops, and 100% of evaluable patients achieved 20/30 or better corrected visual acuity, in each case at 36 months. We believe this long-term, sustained delivery profile can reduce or eliminate the need for daily topical medications, reducing the reliance on patient adherence and offering the potential to improve patient outcomes and reduce the risk of disease progression.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Ultralow Dose and Potential to Improve Quality of Life.</w:t>
      </w:r>
      <w:r>
        <w:rPr>
          <w:color w:val="000000"/>
        </w:rPr>
        <w:t xml:space="preserve"> </w:t>
      </w:r>
      <w:r>
        <w:rPr>
          <w:rFonts w:ascii="Trade Gothic;sans-serif" w:hAnsi="Trade Gothic;sans-serif"/>
          <w:b w:val="false"/>
          <w:color w:val="000000"/>
          <w:sz w:val="19"/>
        </w:rPr>
        <w:t xml:space="preserve">The BIM-IOL System is designed to consistently deliver three years of IOP-lowering therapy using less bimatoprost than is contained in a 5mL bottle of topical bimatoprost drops. The ultralow dose reduces daily exposure to the drug which can potentially reduce the risk of AEs. In our FIH trial, the BIM-IOL System was well-tolerated, and no product-related AEs were observed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0335"/>
                <wp:effectExtent l="0" t="0" r="0" b="0"/>
                <wp:wrapNone/>
                <wp:docPr id="13" name="Frame1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jc w:val="left"/>
        <w:rPr>
          <w:rFonts w:ascii="Trade Gothic;sans-serif" w:hAnsi="Trade Gothic;sans-serif"/>
          <w:b w:val="false"/>
          <w:color w:val="000000"/>
          <w:sz w:val="19"/>
        </w:rPr>
      </w:pPr>
      <w:r>
        <w:rPr>
          <w:rFonts w:ascii="Trade Gothic;sans-serif" w:hAnsi="Trade Gothic;sans-serif"/>
          <w:b w:val="false"/>
          <w:color w:val="000000"/>
          <w:sz w:val="19"/>
        </w:rPr>
        <w:t>36 months. In addition, in our ongoing Phase 1/2 clinical trial, the BIM-IOL System was well tolerated at three and twelve months, in line with third-party data for patients undergoing cataract surgery. Among the 23 evaluable patients in our FIH trial and the 74 evaluable patients in our Phase 1/2 clinical trial treated with the BIM-IOL System, there were few reported rates of ocular hyperemia, a common cosmetic complaint for patients taking bimatoprost eye drops.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Seamless Integration into Existing Surgical Workflow.</w:t>
      </w:r>
      <w:r>
        <w:rPr>
          <w:color w:val="000000"/>
        </w:rPr>
        <w:t xml:space="preserve"> </w:t>
      </w:r>
      <w:r>
        <w:rPr>
          <w:rFonts w:ascii="Trade Gothic;sans-serif" w:hAnsi="Trade Gothic;sans-serif"/>
          <w:b w:val="false"/>
          <w:color w:val="000000"/>
          <w:sz w:val="19"/>
        </w:rPr>
        <w:t>Our lead product candidate, the BIM-IOL System, is designed to seamlessly fit into the existing procedural workflow of routine cataract surgery and does not require the specialized techniques and training needed to perform MIGS procedures. For example, this system is designed to use the same tools, surgeon workflow and techniques employed during routine cataract surgery, which we believe enables cataract surgeons to seamlessly and concurrently treat OAG or OHT while performing their existing cataract procedures and without learning new skills. We believe this approach has the potential to triple the number of surgeons that treat OAG or OHT routinely at the time of cataract surgery, by enabling the two-thirds of cataract surgeons who do not perform MIGS procedures routinely due to the additional training and specialized techniques required.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Confidence with Established Reimbursement Pathway.</w:t>
      </w:r>
      <w:r>
        <w:rPr>
          <w:color w:val="000000"/>
        </w:rPr>
        <w:t xml:space="preserve"> </w:t>
      </w:r>
      <w:r>
        <w:rPr>
          <w:rFonts w:ascii="Trade Gothic;sans-serif" w:hAnsi="Trade Gothic;sans-serif"/>
          <w:b w:val="false"/>
          <w:color w:val="000000"/>
          <w:sz w:val="19"/>
        </w:rPr>
        <w:t xml:space="preserve">As the Drug Pad-IOL System is designed to be implanted during routine cataract surgery, we anticipate that the use of the BIM-IOL System, if approved, will be reimbursed through established reimbursement pathways and we intend to leverage existing Category I CPT codes for cataract surgery. This would significantly simplify reimbursement logistics compared to other implantable glaucoma devices, which often require new CPT codes. We believe that utilizing existing codes can help to ensure consistent pricing and increase provider confidence in reimbursement, which can help to drive demand and adoption, if approved.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Patient Care with Attractive Facility Economics.</w:t>
      </w:r>
      <w:r>
        <w:rPr>
          <w:color w:val="000000"/>
        </w:rPr>
        <w:t xml:space="preserve"> </w:t>
      </w:r>
      <w:r>
        <w:rPr>
          <w:rFonts w:ascii="Trade Gothic;sans-serif" w:hAnsi="Trade Gothic;sans-serif"/>
          <w:b w:val="false"/>
          <w:color w:val="000000"/>
          <w:sz w:val="19"/>
        </w:rPr>
        <w:t>We believe that the IOP-lowering element of our lead product candidate will be classified as a physician-administered drug, which are typically reimbursed at the ASP plus 6%. We believe this presents an opportunity for providers and facilities, including ASCs, where approximately 90% of cataract surgeries in the United States are performed</w:t>
      </w:r>
      <w:r>
        <w:rPr>
          <w:rFonts w:ascii="Trade Gothic;sans-serif" w:hAnsi="Trade Gothic;sans-serif"/>
          <w:b w:val="false"/>
          <w:color w:val="000000"/>
          <w:sz w:val="12"/>
        </w:rPr>
        <w:t>6</w:t>
      </w:r>
      <w:r>
        <w:rPr>
          <w:rFonts w:ascii="Trade Gothic;sans-serif" w:hAnsi="Trade Gothic;sans-serif"/>
          <w:b w:val="false"/>
          <w:color w:val="000000"/>
          <w:sz w:val="19"/>
        </w:rPr>
        <w:t>, to recognize incremental revenue from cataract surgeries. We believe this helps to align the patient care and economic priorities of providers and facilities.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Scalability and Durability.</w:t>
      </w:r>
      <w:r>
        <w:rPr>
          <w:color w:val="000000"/>
        </w:rPr>
        <w:t xml:space="preserve"> </w:t>
      </w:r>
      <w:r>
        <w:rPr>
          <w:rFonts w:ascii="Trade Gothic;sans-serif" w:hAnsi="Trade Gothic;sans-serif"/>
          <w:b w:val="false"/>
          <w:color w:val="000000"/>
          <w:sz w:val="19"/>
        </w:rPr>
        <w:t>While our lead product candidate, the BIM-IOL System, incorporates a single drug, the SpyGlass Platform is designed to support various well-established, approved medicines, providing flexibility to potentially treat a range of conditions in the front and back of the eye. In addition, we believe our systems can be developed in the future to support drug delivery beyond the three years targeted by the BIM-IOL System. Moreover, our proprietary drug pad technology is compatible with other lens materials and IOL optics, which can potentially expand our opportunity. We believe the breadth of our platform positions us to address large, underserved patient populations with approved medicines in a novel format.</w:t>
      </w:r>
    </w:p>
    <w:p>
      <w:pPr>
        <w:pStyle w:val="TextBody"/>
        <w:bidi w:val="0"/>
        <w:spacing w:lineRule="auto" w:line="288" w:before="0" w:after="240"/>
        <w:jc w:val="left"/>
        <w:rPr/>
      </w:pPr>
      <w:r>
        <w:rPr>
          <w:rFonts w:ascii="Trade Gothic;sans-serif" w:hAnsi="Trade Gothic;sans-serif"/>
          <w:b w:val="false"/>
          <w:color w:val="000000"/>
          <w:sz w:val="19"/>
        </w:rPr>
        <w:t xml:space="preserve">We are also developing our DRS to leverage the same core technology as our Drug Pad-IOL System in a non-IOL-based, ring-shaped, sustained-release implant. This DRS is designed to be implanted in a standalone procedure, in the anterior segment of the eye outside the capsular bag, which we believe will help to preserve visual function. This system is engineered to be removable and replaceable, potentially allowing for continuous care over a patient’s lifetime. In </w:t>
      </w:r>
      <w:r>
        <w:rPr>
          <w:rFonts w:ascii="Trade Gothic;sans-serif" w:hAnsi="Trade Gothic;sans-serif"/>
          <w:b w:val="false"/>
          <w:i/>
          <w:color w:val="000000"/>
          <w:sz w:val="19"/>
        </w:rPr>
        <w:t>ex vivo</w:t>
      </w:r>
      <w:r>
        <w:rPr>
          <w:color w:val="000000"/>
        </w:rPr>
        <w:t xml:space="preserve"> </w:t>
      </w:r>
      <w:r>
        <w:rPr>
          <w:rFonts w:ascii="Trade Gothic;sans-serif" w:hAnsi="Trade Gothic;sans-serif"/>
          <w:b w:val="false"/>
          <w:color w:val="000000"/>
          <w:sz w:val="19"/>
        </w:rPr>
        <w:t>studies, we have observed compatibility and positioning of the system in the human eye, and animal studies are currently underway. Similar to our Drug Pad-IOL System, the DRS is designed with the capability to deliver various medicines, and we are initially developing the BIM-DRS.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summary, we believe our technology, starting with the BIM-IOL System, has the potential to transform the treatment paradigm for patients living with chronic eye conditions through long-acting, sustained drug delivery of approved medicines. We believe the BIM-IOL System could redefine the current standard of care for OAG and OHT patients undergoing cataract surgery. Beyond cataract surgery, we believe the BIM-DRS has the potential to address longer-term durability and expand our market by enabling surgeons to retreat patients who have received the BIM-IOL System or offer extended care for pseudophakic patients with OAG or OHT.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Our Market Opportunity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currently developing our systems to address the large and well-defined glaucoma market, which we believe is in need of patient-centric innovation. Our lead product candidate, the BIM-IOL System, is being developed for the reduction of IOP in patients with OAG or OHT who are undergoing cataract surgery.</w:t>
      </w:r>
    </w:p>
    <w:p>
      <w:pPr>
        <w:pStyle w:val="TextBody"/>
        <w:bidi w:val="0"/>
        <w:spacing w:lineRule="auto" w:line="288" w:before="0" w:after="240"/>
        <w:jc w:val="left"/>
        <w:rPr/>
      </w:pPr>
      <w:r>
        <w:rPr>
          <w:rFonts w:ascii="Trade Gothic;sans-serif" w:hAnsi="Trade Gothic;sans-serif"/>
          <w:b w:val="false"/>
          <w:color w:val="000000"/>
          <w:sz w:val="19"/>
        </w:rPr>
        <w:t xml:space="preserve">There are expected to be approximately five million cataract surgeries in the United States in 2025, which is expected to grow by 3% to 4% per year, according to </w:t>
      </w:r>
      <w:r>
        <w:rPr>
          <w:rFonts w:ascii="Trade Gothic;sans-serif" w:hAnsi="Trade Gothic;sans-serif"/>
          <w:b w:val="false"/>
          <w:i/>
          <w:color w:val="000000"/>
          <w:sz w:val="19"/>
        </w:rPr>
        <w:t>MarketScope Ophthalmic Market Trends Q2-2025 US Cataract Edition</w:t>
      </w:r>
      <w:r>
        <w:rPr>
          <w:rFonts w:ascii="Trade Gothic;sans-serif" w:hAnsi="Trade Gothic;sans-serif"/>
          <w:b w:val="false"/>
          <w:color w:val="000000"/>
          <w:sz w:val="19"/>
        </w:rPr>
        <w:t xml:space="preserve">. These procedures will be performed by the approximately 10,000 cataract surgeons reported by </w:t>
      </w:r>
      <w:r>
        <w:rPr>
          <w:rFonts w:ascii="Trade Gothic;sans-serif" w:hAnsi="Trade Gothic;sans-serif"/>
          <w:b w:val="false"/>
          <w:i/>
          <w:color w:val="000000"/>
          <w:sz w:val="19"/>
        </w:rPr>
        <w:t xml:space="preserve">MarketScope 2025 </w:t>
      </w:r>
    </w:p>
    <w:p>
      <w:pPr>
        <w:pStyle w:val="TextBody"/>
        <w:bidi w:val="0"/>
        <w:spacing w:lineRule="auto" w:line="288" w:before="0" w:after="160"/>
        <w:jc w:val="left"/>
        <w:rPr/>
      </w:pPr>
      <w:r>
        <w:rPr>
          <w:rFonts w:ascii="Trade Gothic;sans-serif" w:hAnsi="Trade Gothic;sans-serif"/>
          <w:b w:val="false"/>
          <w:color w:val="000000"/>
          <w:sz w:val="11"/>
        </w:rPr>
        <w:t>6</w:t>
      </w:r>
      <w:r>
        <w:rPr>
          <w:color w:val="000000"/>
        </w:rPr>
        <w:t>     </w:t>
      </w:r>
      <w:r>
        <w:rPr>
          <w:rFonts w:ascii="Trade Gothic;sans-serif" w:hAnsi="Trade Gothic;sans-serif"/>
          <w:b w:val="false"/>
          <w:color w:val="000000"/>
          <w:sz w:val="17"/>
        </w:rPr>
        <w:t>MarketScope Ophthalmic Market Trends Q2-2025 US Cataract Edition.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0335"/>
                <wp:effectExtent l="0" t="0" r="0" b="0"/>
                <wp:wrapNone/>
                <wp:docPr id="14" name="Frame1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i/>
          <w:color w:val="000000"/>
          <w:sz w:val="19"/>
        </w:rPr>
        <w:t xml:space="preserve">Global Glaucoma Device Report </w:t>
      </w:r>
      <w:r>
        <w:rPr>
          <w:rFonts w:ascii="Trade Gothic;sans-serif" w:hAnsi="Trade Gothic;sans-serif"/>
          <w:b w:val="false"/>
          <w:color w:val="000000"/>
          <w:sz w:val="19"/>
        </w:rPr>
        <w:t>to be currently active in the United States. The same report estimates that approximately one million of these surgeries will be performed in patients with glaucoma or OHT. Based on the wholesale acquisition cost for iDose TR and the percentage of patients with glaucoma who have OAG</w:t>
      </w:r>
      <w:r>
        <w:rPr>
          <w:rFonts w:ascii="Trade Gothic;sans-serif" w:hAnsi="Trade Gothic;sans-serif"/>
          <w:b w:val="false"/>
          <w:color w:val="000000"/>
          <w:sz w:val="12"/>
        </w:rPr>
        <w:t>7</w:t>
      </w:r>
      <w:r>
        <w:rPr>
          <w:rFonts w:ascii="Trade Gothic;sans-serif" w:hAnsi="Trade Gothic;sans-serif"/>
          <w:b w:val="false"/>
          <w:color w:val="000000"/>
          <w:sz w:val="19"/>
        </w:rPr>
        <w:t>, we estimate that the total addressable market for OAG/OHT and cataract patients is approximately $13 billion. In addition, we believe the DRS has the potential to expand our total addressable market by enabling surgeons to retreat patients who have received the BIM-IOL System or offer extended care for pseudophakic patients with OAG or OHT.</w:t>
      </w:r>
    </w:p>
    <w:p>
      <w:pPr>
        <w:pStyle w:val="TextBody"/>
        <w:bidi w:val="0"/>
        <w:spacing w:lineRule="auto" w:line="288" w:before="0" w:after="240"/>
        <w:jc w:val="left"/>
        <w:rPr/>
      </w:pPr>
      <w:r>
        <w:rPr>
          <w:rFonts w:ascii="Trade Gothic;sans-serif" w:hAnsi="Trade Gothic;sans-serif"/>
          <w:b w:val="false"/>
          <w:color w:val="000000"/>
          <w:sz w:val="19"/>
        </w:rPr>
        <w:t>While the glaucoma treatment market is significant, and surgical options, such as MIGS, are readily available, the adoption of such options among cataract surgeons remains limited. Based on procedure volumes in claims data from Definitive Healthcare, we estimate</w:t>
      </w:r>
      <w:r>
        <w:rPr>
          <w:rFonts w:ascii="Trade Gothic;sans-serif" w:hAnsi="Trade Gothic;sans-serif"/>
          <w:b w:val="false"/>
          <w:color w:val="000000"/>
          <w:sz w:val="12"/>
        </w:rPr>
        <w:t>8</w:t>
      </w:r>
      <w:r>
        <w:rPr>
          <w:color w:val="000000"/>
        </w:rPr>
        <w:t xml:space="preserve"> </w:t>
      </w:r>
      <w:r>
        <w:rPr>
          <w:rFonts w:ascii="Trade Gothic;sans-serif" w:hAnsi="Trade Gothic;sans-serif"/>
          <w:b w:val="false"/>
          <w:color w:val="000000"/>
          <w:sz w:val="19"/>
        </w:rPr>
        <w:t>that only one-third of the 10,000 active cataract surgeons in the United States perform MIGS procedures routinely, which we define as at least two procedures per month. As a result, approximately two-thirds of cataract surgeons in the United States do not perform MIGS procedures routinely despite an estimated 20% of their cataract patients having glaucoma or OHT according to a published research article analyzing cataract patients based on U.S. Medicare claims data</w:t>
      </w:r>
      <w:r>
        <w:rPr>
          <w:rFonts w:ascii="Trade Gothic;sans-serif" w:hAnsi="Trade Gothic;sans-serif"/>
          <w:b w:val="false"/>
          <w:color w:val="000000"/>
          <w:sz w:val="12"/>
        </w:rPr>
        <w:t>9</w:t>
      </w:r>
      <w:r>
        <w:rPr>
          <w:rFonts w:ascii="Trade Gothic;sans-serif" w:hAnsi="Trade Gothic;sans-serif"/>
          <w:b w:val="false"/>
          <w:color w:val="000000"/>
          <w:sz w:val="19"/>
        </w:rPr>
        <w:t>.</w:t>
      </w:r>
    </w:p>
    <w:p>
      <w:pPr>
        <w:pStyle w:val="TextBody"/>
        <w:bidi w:val="0"/>
        <w:spacing w:lineRule="auto" w:line="288" w:before="0" w:after="240"/>
        <w:jc w:val="left"/>
        <w:rPr/>
      </w:pPr>
      <w:r>
        <w:rPr>
          <w:rFonts w:ascii="Trade Gothic;sans-serif" w:hAnsi="Trade Gothic;sans-serif"/>
          <w:b w:val="false"/>
          <w:color w:val="000000"/>
          <w:sz w:val="19"/>
        </w:rPr>
        <w:t xml:space="preserve">Outside the United States, we believe the market opportunity is equally compelling. According to </w:t>
      </w:r>
      <w:r>
        <w:rPr>
          <w:rFonts w:ascii="Trade Gothic;sans-serif" w:hAnsi="Trade Gothic;sans-serif"/>
          <w:b w:val="false"/>
          <w:i/>
          <w:color w:val="000000"/>
          <w:sz w:val="19"/>
        </w:rPr>
        <w:t>MarketScope 2025 Global Glaucoma Device Report</w:t>
      </w:r>
      <w:r>
        <w:rPr>
          <w:rFonts w:ascii="Trade Gothic;sans-serif" w:hAnsi="Trade Gothic;sans-serif"/>
          <w:b w:val="false"/>
          <w:color w:val="000000"/>
          <w:sz w:val="19"/>
        </w:rPr>
        <w:t>, an estimated 5.4 million glaucoma and OHT patients are expected to undergo cataract surgeries outside of the United States in 2025. While we will initially focus our commercial efforts in the United States, we have proactively secured IP protection in key global markets with large numbers of cataract surgeries, including western Europe, Japan, Australia, and Canada, which will enable us to expand internationally and increase the market opportunity for our product candidates.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Background and Industry</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Glaucoma</w:t>
      </w:r>
    </w:p>
    <w:p>
      <w:pPr>
        <w:pStyle w:val="TextBody"/>
        <w:bidi w:val="0"/>
        <w:spacing w:lineRule="auto" w:line="288" w:before="0" w:after="240"/>
        <w:jc w:val="left"/>
        <w:rPr/>
      </w:pPr>
      <w:r>
        <w:rPr>
          <w:rFonts w:ascii="Trade Gothic;sans-serif" w:hAnsi="Trade Gothic;sans-serif"/>
          <w:b w:val="false"/>
          <w:color w:val="000000"/>
          <w:sz w:val="19"/>
        </w:rPr>
        <w:t xml:space="preserve">Glaucoma is a group of chronic, progressive optic neuropathies characterized by damage to the optic nerve, ultimately leading to irreversible vision loss and, in advanced cases, permanent blindness for approximately 3.6 million individuals. It is the second leading cause of blindness worldwide. There are two primary subtypes of glaucoma: OAG and angle-closure glaucoma (ACG). According to </w:t>
      </w:r>
      <w:r>
        <w:rPr>
          <w:rFonts w:ascii="Trade Gothic;sans-serif" w:hAnsi="Trade Gothic;sans-serif"/>
          <w:b w:val="false"/>
          <w:i/>
          <w:color w:val="000000"/>
          <w:sz w:val="19"/>
        </w:rPr>
        <w:t>MarketScope 2025 Global Glaucoma Device Report</w:t>
      </w:r>
      <w:r>
        <w:rPr>
          <w:rFonts w:ascii="Trade Gothic;sans-serif" w:hAnsi="Trade Gothic;sans-serif"/>
          <w:b w:val="false"/>
          <w:color w:val="000000"/>
          <w:sz w:val="19"/>
        </w:rPr>
        <w:t>, over 80 million people worldwide are expected to be affected by OAG in 2025. ACG is less common but presents more acutely, often causing rapid and severe increases in IOP that require urgent intervention. According to the National Eye Institute, OAG accounts for approximately 90% of glaucoma cases in the United States, and is typically asymptomatic until significant vision loss has occurred.</w:t>
      </w:r>
    </w:p>
    <w:p>
      <w:pPr>
        <w:pStyle w:val="TextBody"/>
        <w:bidi w:val="0"/>
        <w:spacing w:lineRule="auto" w:line="288" w:before="0" w:after="240"/>
        <w:jc w:val="left"/>
        <w:rPr/>
      </w:pPr>
      <w:r>
        <w:rPr>
          <w:rFonts w:ascii="Trade Gothic;sans-serif" w:hAnsi="Trade Gothic;sans-serif"/>
          <w:b w:val="false"/>
          <w:color w:val="000000"/>
          <w:sz w:val="19"/>
        </w:rPr>
        <w:t>Multiple factors are contributing to the significant and sustained growth of the global glaucoma market. A primary driver is the aging population, supported by rising life expectancies and increased access to routine ophthalmic care. As individuals age, the incidence of glaucoma and its associated risk factors increases substantially. Primary risk factors for glaucoma include elevated IOP, race, and family history, while additional factors such as diabetes, hypertension, myopia, and certain systemic conditions may further increase risk. According to a published review of the pathophysiology and treatment of glaucoma, elevated IOP is the only known modifiable risk factor for glaucoma progression.</w:t>
      </w:r>
      <w:r>
        <w:rPr>
          <w:rFonts w:ascii="Trade Gothic;sans-serif" w:hAnsi="Trade Gothic;sans-serif"/>
          <w:b w:val="false"/>
          <w:color w:val="000000"/>
          <w:sz w:val="12"/>
        </w:rPr>
        <w:t>10</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Glaucoma can occur at any age but predominantly affects individuals over the age of 40. The progressive disease is largely asymptomatic in its early stages and is often first diagnosed through routine ophthalmic screening or vision assessments at annual health examinations. As the disease progresses, patients may experience peripheral vision loss, blurred vision, and halos around lights. Central vision is typically preserved until the later stages of the disease, which contributes to the fact that many patients remain unaware of their condition until identified during a standard eye exam.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Glaucoma is often caused by impaired drainage of aqueous humor, the clear fluid that nourishes ocular tissues and facilitates waste removal from the eye. Aqueous humor is continuously produced by the ciliary body, flows around the iris and through the pupil into the anterior chamber, and typically drains through the trabecular meshwork, Schlemm’s canal, and ultimately the scleral venous sinus. An alternate drainage route is the uveoscleral pathway.</w:t>
      </w:r>
    </w:p>
    <w:p>
      <w:pPr>
        <w:pStyle w:val="TextBody"/>
        <w:bidi w:val="0"/>
        <w:spacing w:lineRule="auto" w:line="288" w:before="0" w:after="0"/>
        <w:jc w:val="left"/>
        <w:rPr/>
      </w:pPr>
      <w:r>
        <w:rPr>
          <w:rFonts w:ascii="Trade Gothic;sans-serif" w:hAnsi="Trade Gothic;sans-serif"/>
          <w:b w:val="false"/>
          <w:color w:val="000000"/>
          <w:sz w:val="11"/>
        </w:rPr>
        <w:t>7</w:t>
      </w:r>
      <w:r>
        <w:rPr>
          <w:color w:val="000000"/>
        </w:rPr>
        <w:t>     </w:t>
      </w:r>
      <w:r>
        <w:rPr>
          <w:rFonts w:ascii="Trade Gothic;sans-serif" w:hAnsi="Trade Gothic;sans-serif"/>
          <w:b w:val="false"/>
          <w:color w:val="000000"/>
          <w:sz w:val="17"/>
        </w:rPr>
        <w:t>According to the National Eye Institute, OAG accounts for approximately 90% of glaucoma cases in the United States.</w:t>
      </w:r>
    </w:p>
    <w:p>
      <w:pPr>
        <w:pStyle w:val="TextBody"/>
        <w:bidi w:val="0"/>
        <w:spacing w:lineRule="auto" w:line="288" w:before="0" w:after="160"/>
        <w:jc w:val="left"/>
        <w:rPr/>
      </w:pPr>
      <w:r>
        <w:rPr>
          <w:rFonts w:ascii="Trade Gothic;sans-serif" w:hAnsi="Trade Gothic;sans-serif"/>
          <w:b w:val="false"/>
          <w:color w:val="000000"/>
          <w:sz w:val="11"/>
        </w:rPr>
        <w:t>8</w:t>
      </w:r>
      <w:r>
        <w:rPr>
          <w:color w:val="000000"/>
        </w:rPr>
        <w:t>     </w:t>
      </w:r>
      <w:r>
        <w:rPr>
          <w:rFonts w:ascii="Trade Gothic;sans-serif" w:hAnsi="Trade Gothic;sans-serif"/>
          <w:b w:val="false"/>
          <w:color w:val="000000"/>
          <w:sz w:val="17"/>
        </w:rPr>
        <w:t>Based on data taken from Definitive Healthcare Report 2023.</w:t>
      </w:r>
    </w:p>
    <w:p>
      <w:pPr>
        <w:pStyle w:val="TextBody"/>
        <w:bidi w:val="0"/>
        <w:spacing w:lineRule="auto" w:line="288" w:before="0" w:after="160"/>
        <w:ind w:left="0" w:right="0" w:hanging="360"/>
        <w:jc w:val="left"/>
        <w:rPr/>
      </w:pPr>
      <w:r>
        <w:rPr>
          <w:rFonts w:ascii="Trade Gothic;sans-serif" w:hAnsi="Trade Gothic;sans-serif"/>
          <w:b w:val="false"/>
          <w:color w:val="000000"/>
          <w:sz w:val="11"/>
        </w:rPr>
        <w:t>9</w:t>
      </w:r>
      <w:r>
        <w:rPr>
          <w:color w:val="000000"/>
        </w:rPr>
        <w:t>     </w:t>
      </w:r>
      <w:r>
        <w:rPr>
          <w:rFonts w:ascii="Trade Gothic;sans-serif" w:hAnsi="Trade Gothic;sans-serif"/>
          <w:b w:val="false"/>
          <w:color w:val="000000"/>
          <w:sz w:val="17"/>
        </w:rPr>
        <w:t>Terveen et. al, Real-World Cataract Surgery Complications and Secondary Interventions Incidence Rates: An Analysis of US Medicare Claims Database, Journal of Ophthalmology, Volume 2022, Article ID 8653476, https://doi.org/10.1155/2022/8653476</w:t>
      </w:r>
    </w:p>
    <w:p>
      <w:pPr>
        <w:pStyle w:val="TextBody"/>
        <w:bidi w:val="0"/>
        <w:spacing w:lineRule="auto" w:line="288" w:before="0" w:after="0"/>
        <w:ind w:left="0" w:right="0" w:hanging="360"/>
        <w:jc w:val="left"/>
        <w:rPr/>
      </w:pPr>
      <w:r>
        <w:rPr>
          <w:rFonts w:ascii="Trade Gothic;sans-serif" w:hAnsi="Trade Gothic;sans-serif"/>
          <w:b w:val="false"/>
          <w:color w:val="000000"/>
          <w:sz w:val="11"/>
        </w:rPr>
        <w:t>10</w:t>
      </w:r>
      <w:r>
        <w:rPr>
          <w:color w:val="000000"/>
        </w:rPr>
        <w:t>    </w:t>
      </w:r>
      <w:r>
        <w:rPr>
          <w:rFonts w:ascii="Trade Gothic;sans-serif" w:hAnsi="Trade Gothic;sans-serif"/>
          <w:b w:val="false"/>
          <w:color w:val="000000"/>
          <w:sz w:val="17"/>
        </w:rPr>
        <w:t>Weinreb RN, Aung T, Medeiros FA. The pathophysiology and treatment of glaucoma: a review. JAMA. 2014; 311(18):1901-1911.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0335"/>
                <wp:effectExtent l="0" t="0" r="0" b="0"/>
                <wp:wrapNone/>
                <wp:docPr id="15" name="Frame1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Healthy Eye vs. Eye with Glaucoma</w:t>
      </w:r>
    </w:p>
    <w:p>
      <w:pPr>
        <w:pStyle w:val="TextBody"/>
        <w:bidi w:val="0"/>
        <w:spacing w:before="0" w:after="240"/>
        <w:jc w:val="center"/>
        <w:rPr/>
      </w:pPr>
      <w:r>
        <w:rPr/>
        <w:drawing>
          <wp:inline distT="0" distB="0" distL="0" distR="0">
            <wp:extent cx="5391150" cy="26479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5391150" cy="2647950"/>
                    </a:xfrm>
                    <a:prstGeom prst="rect">
                      <a:avLst/>
                    </a:prstGeom>
                  </pic:spPr>
                </pic:pic>
              </a:graphicData>
            </a:graphic>
          </wp:inline>
        </w:drawing>
      </w:r>
      <w:bookmarkStart w:id="3" w:name="i-4"/>
      <w:bookmarkEnd w:id="3"/>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When the production and outflow of aqueous humor become imbalanced, IOP can rise above the normal range of 10 to 21 mmHg, leading to progressive and irreversible damage to the optic nerve. This damage is largely preventable through timely and sustained reduction of IOP. The angle, located at the junction where the iris and cornea meet, plays a critical role in aqueous humor drainage and can be anatomically open or narrow. In OAG, there is a gradual increase in resistance of trabecular meshwork, whereas in acute ACG, the iris can block the aqueous humor’s ability to reach the trabecular meshwork. OAG typically develops slowly and without noticeable symptoms in its early stages, often detected only through routine eye examinations, but can progress to cause irreversible optic nerve damage leading to peripheral vision loss that may advance to central vision if left untreated.</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 xml:space="preserve">Flow of Aqueous Humor: from the Ciliary Body, around the Lens and Iris, into the Angle </w:t>
      </w:r>
    </w:p>
    <w:p>
      <w:pPr>
        <w:pStyle w:val="TextBody"/>
        <w:bidi w:val="0"/>
        <w:spacing w:before="0" w:after="240"/>
        <w:jc w:val="center"/>
        <w:rPr/>
      </w:pPr>
      <w:r>
        <w:rPr/>
        <w:drawing>
          <wp:inline distT="0" distB="0" distL="0" distR="0">
            <wp:extent cx="3971925" cy="22860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3971925" cy="2286000"/>
                    </a:xfrm>
                    <a:prstGeom prst="rect">
                      <a:avLst/>
                    </a:prstGeom>
                  </pic:spPr>
                </pic:pic>
              </a:graphicData>
            </a:graphic>
          </wp:inline>
        </w:drawing>
      </w:r>
      <w:bookmarkStart w:id="4" w:name="i-5"/>
      <w:bookmarkEnd w:id="4"/>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Ocular Hypertension (OHT)</w:t>
      </w:r>
    </w:p>
    <w:p>
      <w:pPr>
        <w:pStyle w:val="TextBody"/>
        <w:bidi w:val="0"/>
        <w:spacing w:lineRule="auto" w:line="288" w:before="0" w:after="240"/>
        <w:jc w:val="left"/>
        <w:rPr/>
      </w:pPr>
      <w:r>
        <w:rPr>
          <w:rFonts w:ascii="Trade Gothic;sans-serif" w:hAnsi="Trade Gothic;sans-serif"/>
          <w:b w:val="false"/>
          <w:color w:val="000000"/>
          <w:sz w:val="19"/>
        </w:rPr>
        <w:t xml:space="preserve">OHT is high eye pressure without visible damage to the optic nerve. According to </w:t>
      </w:r>
      <w:r>
        <w:rPr>
          <w:rFonts w:ascii="Trade Gothic;sans-serif" w:hAnsi="Trade Gothic;sans-serif"/>
          <w:b w:val="false"/>
          <w:i/>
          <w:color w:val="000000"/>
          <w:sz w:val="19"/>
        </w:rPr>
        <w:t>MarketScope 2025 Global Glaucoma Device Report</w:t>
      </w:r>
      <w:r>
        <w:rPr>
          <w:rFonts w:ascii="Trade Gothic;sans-serif" w:hAnsi="Trade Gothic;sans-serif"/>
          <w:b w:val="false"/>
          <w:color w:val="000000"/>
          <w:sz w:val="19"/>
        </w:rPr>
        <w:t>, OHT is expected to impact more than 48 million people worldwide in 2025. While OHT does not cause vision loss, it does increase the risk of developing glaucoma, so it is often managed with eye drop medications to lower eye pressure and regular monitoring to check for signs of optic nerve damage. Although OHT can be treated with many of the same treatments and therapies available to glaucoma patients, many interventional devices and approaches, such as MIGS, are not indicated for treatment of OHT. Bimatoprost is currently indicated to treat OHT in both topical and sustained release 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0335"/>
                <wp:effectExtent l="0" t="0" r="0" b="0"/>
                <wp:wrapNone/>
                <wp:docPr id="18" name="Frame1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Management of Glaucoma or OHT and Their Limitations</w:t>
      </w:r>
    </w:p>
    <w:p>
      <w:pPr>
        <w:pStyle w:val="TextBody"/>
        <w:bidi w:val="0"/>
        <w:spacing w:lineRule="auto" w:line="288" w:before="0" w:after="240"/>
        <w:jc w:val="left"/>
        <w:rPr/>
      </w:pPr>
      <w:r>
        <w:rPr>
          <w:rFonts w:ascii="Trade Gothic;sans-serif" w:hAnsi="Trade Gothic;sans-serif"/>
          <w:b w:val="false"/>
          <w:color w:val="000000"/>
          <w:sz w:val="19"/>
        </w:rPr>
        <w:t>The reduction of IOP is currently the only known modifiable risk factor that has been borne out by large randomized controlled clinical trials to reduce both the risk of developing glaucoma and the progression of existing disease.</w:t>
      </w:r>
      <w:r>
        <w:rPr>
          <w:rFonts w:ascii="Trade Gothic;sans-serif" w:hAnsi="Trade Gothic;sans-serif"/>
          <w:b w:val="false"/>
          <w:color w:val="000000"/>
          <w:sz w:val="12"/>
        </w:rPr>
        <w:t>11</w:t>
      </w:r>
      <w:r>
        <w:rPr>
          <w:color w:val="000000"/>
        </w:rPr>
        <w:t xml:space="preserve"> </w:t>
      </w:r>
      <w:r>
        <w:rPr>
          <w:rFonts w:ascii="Trade Gothic;sans-serif" w:hAnsi="Trade Gothic;sans-serif"/>
          <w:b w:val="false"/>
          <w:color w:val="000000"/>
          <w:sz w:val="19"/>
        </w:rPr>
        <w:t>IOP is typically managed using eye drops containing PGAs, such as bimatoprost, travoprost, and latanoprost to lower pressure. Usually glaucoma patients start with one PGA and their physicians may add other topical eye drops. As the disease condition worsens, patients may seek glaucoma specialists and pursue procedural interventions.</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Treatment Algorithm for Glaucoma Patients</w:t>
      </w:r>
    </w:p>
    <w:p>
      <w:pPr>
        <w:pStyle w:val="TextBody"/>
        <w:bidi w:val="0"/>
        <w:spacing w:before="0" w:after="240"/>
        <w:jc w:val="center"/>
        <w:rPr/>
      </w:pPr>
      <w:r>
        <w:rPr/>
        <w:drawing>
          <wp:inline distT="0" distB="0" distL="0" distR="0">
            <wp:extent cx="4657725" cy="264795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4657725" cy="2647950"/>
                    </a:xfrm>
                    <a:prstGeom prst="rect">
                      <a:avLst/>
                    </a:prstGeom>
                  </pic:spPr>
                </pic:pic>
              </a:graphicData>
            </a:graphic>
          </wp:inline>
        </w:drawing>
      </w:r>
      <w:bookmarkStart w:id="5" w:name="i-6"/>
      <w:bookmarkEnd w:id="5"/>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Eye Drops</w:t>
      </w:r>
    </w:p>
    <w:p>
      <w:pPr>
        <w:pStyle w:val="TextBody"/>
        <w:bidi w:val="0"/>
        <w:spacing w:lineRule="auto" w:line="288" w:before="0" w:after="240"/>
        <w:jc w:val="left"/>
        <w:rPr/>
      </w:pPr>
      <w:r>
        <w:rPr>
          <w:rFonts w:ascii="Trade Gothic;sans-serif" w:hAnsi="Trade Gothic;sans-serif"/>
          <w:b w:val="false"/>
          <w:color w:val="000000"/>
          <w:sz w:val="19"/>
        </w:rPr>
        <w:t>PGAs reduce IOP by increasing the outflow of aqueous fluid from the eyes through uveoscleral outflow, bypassing the trabecular meshwork. PGA eye drops have been approved for medical use since the mid-1990s and generic forms are readily available. Other eye drops include beta blockers, such as timolol, carbonic anhydrase inhibitors, such as dorzolamide, alpha-2-agonists, such as brimonidine, that work to reduce the production of fluid in the eye. Miotics have also been used to increase outflow. Overall, daily eye drops remain the most common method of administering ophthalmic medicines. For example, topical eye drops with bimatoprost, which we are using in our BIM-IOL System and BIM-DRS, have been safely administered to millions of patients worldwide. When used topically, bimatoprost has a well-established safety and efficacy profile and has been demonstrated to lower IOP by approximately 30%</w:t>
      </w:r>
      <w:r>
        <w:rPr>
          <w:rFonts w:ascii="Trade Gothic;sans-serif" w:hAnsi="Trade Gothic;sans-serif"/>
          <w:b w:val="false"/>
          <w:color w:val="000000"/>
          <w:sz w:val="12"/>
        </w:rPr>
        <w:t>12</w:t>
      </w:r>
      <w:r>
        <w:rPr>
          <w:rFonts w:ascii="Trade Gothic;sans-serif" w:hAnsi="Trade Gothic;sans-serif"/>
          <w:b w:val="false"/>
          <w:color w:val="000000"/>
          <w:sz w:val="19"/>
        </w:rPr>
        <w:t>.</w:t>
      </w:r>
    </w:p>
    <w:p>
      <w:pPr>
        <w:pStyle w:val="TextBody"/>
        <w:bidi w:val="0"/>
        <w:spacing w:lineRule="auto" w:line="288" w:before="0" w:after="240"/>
        <w:jc w:val="left"/>
        <w:rPr/>
      </w:pPr>
      <w:r>
        <w:rPr>
          <w:rFonts w:ascii="Trade Gothic;sans-serif" w:hAnsi="Trade Gothic;sans-serif"/>
          <w:b w:val="false"/>
          <w:color w:val="000000"/>
          <w:sz w:val="19"/>
        </w:rPr>
        <w:t>Despite the widespread availability of topical eye drops for the reduction of IOP in patients with glaucoma, these medicines require lifelong daily administration, sometimes multiple times a day. Patient adherence to topical regimens is notoriously poor, particularly in early-stage disease, which is largely asymptomatic. Patients may be dissuaded by the cost, side effects, or impact on daily routines, especially when they do not perceive any improvement in vision. Common side effects of PGAs include hyperemia, or eye redness, change in iris color, discoloration of skin around the eyes and droopiness of eyelids caused by the loss of orbital fat. For example, approximately 45% of patients taking topical bimatoprost drops reported conjunctival hyperemia as a side effect of treatment, based on third party data.</w:t>
      </w:r>
      <w:r>
        <w:rPr>
          <w:rFonts w:ascii="Trade Gothic;sans-serif" w:hAnsi="Trade Gothic;sans-serif"/>
          <w:b w:val="false"/>
          <w:color w:val="000000"/>
          <w:sz w:val="12"/>
        </w:rPr>
        <w:t>13</w:t>
      </w:r>
      <w:r>
        <w:rPr>
          <w:color w:val="000000"/>
        </w:rPr>
        <w:t xml:space="preserve"> </w:t>
      </w:r>
      <w:r>
        <w:rPr>
          <w:rFonts w:ascii="Trade Gothic;sans-serif" w:hAnsi="Trade Gothic;sans-serif"/>
          <w:b w:val="false"/>
          <w:color w:val="000000"/>
          <w:sz w:val="19"/>
        </w:rPr>
        <w:t>Beta blockers have cardiopulmonary risks, and contraindications due to potential systemic exposure. Carbonic anhydrase inhibitors are associated with blurred vision, bitter metallic taste in the mouth, dry eyes, red/irritated eyes, headache, and upset stomach. Common side effects of alpha-2-agonists include dry mouth, red eyes or eyelids, fatigue, low or high blood pressure, blurred vision and light sensitivity. These tolerability issues, combined with the asymptomatic nature of early glaucoma, contribute to poor long-term adherence. Adherence is further compromised by age-related factors such as reduced dexterity, memory impairment, and physical limitations, which make self-administration increasingly difficult.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While topical eye drops remain the most commonly prescribed treatment for glaucoma, their effectiveness in real-world settings is significantly limited by poor patient adherence and inefficient drug delivery. According to the American </w:t>
      </w:r>
    </w:p>
    <w:p>
      <w:pPr>
        <w:pStyle w:val="TextBody"/>
        <w:bidi w:val="0"/>
        <w:spacing w:lineRule="auto" w:line="288" w:before="0" w:after="160"/>
        <w:ind w:left="0" w:right="0" w:hanging="389"/>
        <w:jc w:val="left"/>
        <w:rPr/>
      </w:pPr>
      <w:r>
        <w:rPr>
          <w:rFonts w:ascii="Trade Gothic;sans-serif" w:hAnsi="Trade Gothic;sans-serif"/>
          <w:b w:val="false"/>
          <w:color w:val="000000"/>
          <w:sz w:val="11"/>
        </w:rPr>
        <w:t>11</w:t>
      </w:r>
      <w:r>
        <w:rPr>
          <w:color w:val="000000"/>
        </w:rPr>
        <w:t>     </w:t>
      </w:r>
      <w:r>
        <w:rPr>
          <w:rFonts w:ascii="Trade Gothic;sans-serif" w:hAnsi="Trade Gothic;sans-serif"/>
          <w:b w:val="false"/>
          <w:color w:val="000000"/>
          <w:sz w:val="17"/>
        </w:rPr>
        <w:t xml:space="preserve">Weinreb RN, Aung T, Medeiros FA. The pathophysiology and treatment of glaucoma: a review. JAMA. 2014; 311(18): 1901-1911. </w:t>
      </w:r>
    </w:p>
    <w:p>
      <w:pPr>
        <w:pStyle w:val="TextBody"/>
        <w:bidi w:val="0"/>
        <w:spacing w:lineRule="auto" w:line="288" w:before="0" w:after="160"/>
        <w:jc w:val="left"/>
        <w:rPr/>
      </w:pPr>
      <w:r>
        <w:rPr>
          <w:rFonts w:ascii="Trade Gothic;sans-serif" w:hAnsi="Trade Gothic;sans-serif"/>
          <w:b w:val="false"/>
          <w:color w:val="000000"/>
          <w:sz w:val="11"/>
        </w:rPr>
        <w:t>12</w:t>
      </w:r>
      <w:r>
        <w:rPr>
          <w:color w:val="000000"/>
        </w:rPr>
        <w:t>     </w:t>
      </w:r>
      <w:r>
        <w:rPr>
          <w:rFonts w:ascii="Trade Gothic;sans-serif" w:hAnsi="Trade Gothic;sans-serif"/>
          <w:b w:val="false"/>
          <w:color w:val="000000"/>
          <w:sz w:val="17"/>
        </w:rPr>
        <w:t>Lumigan product label.</w:t>
      </w:r>
    </w:p>
    <w:p>
      <w:pPr>
        <w:pStyle w:val="TextBody"/>
        <w:bidi w:val="0"/>
        <w:spacing w:lineRule="auto" w:line="288" w:before="0" w:after="0"/>
        <w:jc w:val="left"/>
        <w:rPr/>
      </w:pPr>
      <w:r>
        <w:rPr>
          <w:rFonts w:ascii="Trade Gothic;sans-serif" w:hAnsi="Trade Gothic;sans-serif"/>
          <w:b w:val="false"/>
          <w:color w:val="000000"/>
          <w:sz w:val="11"/>
        </w:rPr>
        <w:t>13</w:t>
      </w:r>
      <w:r>
        <w:rPr>
          <w:color w:val="000000"/>
        </w:rPr>
        <w:t>     </w:t>
      </w:r>
      <w:r>
        <w:rPr>
          <w:rFonts w:ascii="Trade Gothic;sans-serif" w:hAnsi="Trade Gothic;sans-serif"/>
          <w:b w:val="false"/>
          <w:color w:val="000000"/>
          <w:sz w:val="17"/>
        </w:rPr>
        <w:t>Product Monograph for Lumigan (bimatoprost ophthalmic solution 0.03% w/v), dated November 26, 2018.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0335"/>
                <wp:effectExtent l="0" t="0" r="0" b="0"/>
                <wp:wrapNone/>
                <wp:docPr id="20" name="Frame1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Academy of Ophthalmology (AAO), up to 80% of patients are non-compliant with their prescribed topical IOP-reducing medications. As shown in the figure below, reprinted from a book published by the Wilmer Eye Institute, nearly 50% of patients discontinue the use within one year and less than one-third remained persistent by the third year.</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 xml:space="preserve">Percentage of OAG Patients on Topical Treatments Over Time </w:t>
      </w:r>
    </w:p>
    <w:p>
      <w:pPr>
        <w:pStyle w:val="TextBody"/>
        <w:bidi w:val="0"/>
        <w:spacing w:before="0" w:after="0"/>
        <w:jc w:val="center"/>
        <w:rPr/>
      </w:pPr>
      <w:r>
        <w:rPr/>
        <w:drawing>
          <wp:inline distT="0" distB="0" distL="0" distR="0">
            <wp:extent cx="3200400" cy="2438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3200400" cy="2438400"/>
                    </a:xfrm>
                    <a:prstGeom prst="rect">
                      <a:avLst/>
                    </a:prstGeom>
                  </pic:spPr>
                </pic:pic>
              </a:graphicData>
            </a:graphic>
          </wp:inline>
        </w:drawing>
      </w:r>
      <w:bookmarkStart w:id="6" w:name="i-7"/>
      <w:bookmarkEnd w:id="6"/>
    </w:p>
    <w:p>
      <w:pPr>
        <w:pStyle w:val="TextBody"/>
        <w:bidi w:val="0"/>
        <w:spacing w:lineRule="auto" w:line="288" w:before="0" w:after="240"/>
        <w:jc w:val="left"/>
        <w:rPr>
          <w:rFonts w:ascii="Trade Gothic;sans-serif" w:hAnsi="Trade Gothic;sans-serif"/>
          <w:b w:val="false"/>
          <w:color w:val="000000"/>
          <w:sz w:val="17"/>
        </w:rPr>
      </w:pPr>
      <w:r>
        <w:rPr>
          <w:rFonts w:ascii="Trade Gothic;sans-serif" w:hAnsi="Trade Gothic;sans-serif"/>
          <w:b w:val="false"/>
          <w:color w:val="000000"/>
          <w:sz w:val="17"/>
        </w:rPr>
        <w:t>Source: Glaucoma: What Every Patient Should Know © 2020 Dr. Harry Quigley and Dr. Mona Kaleem</w:t>
      </w:r>
    </w:p>
    <w:p>
      <w:pPr>
        <w:pStyle w:val="TextBody"/>
        <w:bidi w:val="0"/>
        <w:spacing w:lineRule="auto" w:line="288" w:before="0" w:after="240"/>
        <w:jc w:val="left"/>
        <w:rPr/>
      </w:pPr>
      <w:r>
        <w:rPr>
          <w:rFonts w:ascii="Trade Gothic;sans-serif" w:hAnsi="Trade Gothic;sans-serif"/>
          <w:b w:val="false"/>
          <w:color w:val="000000"/>
          <w:sz w:val="19"/>
        </w:rPr>
        <w:t>Without regular dosing, patients are at increased risk of disease progression, complications, and irreversible vision loss. Even when patients describe taking their glaucoma drops as prescribed, studies have shown that less than 5% of the administered dose penetrates the eye and reaches the target tissue.</w:t>
      </w:r>
      <w:r>
        <w:rPr>
          <w:rFonts w:ascii="Trade Gothic;sans-serif" w:hAnsi="Trade Gothic;sans-serif"/>
          <w:b w:val="false"/>
          <w:color w:val="000000"/>
          <w:sz w:val="12"/>
        </w:rPr>
        <w:t>14</w:t>
      </w:r>
      <w:r>
        <w:rPr>
          <w:color w:val="000000"/>
        </w:rPr>
        <w:t xml:space="preserve"> </w:t>
      </w:r>
      <w:r>
        <w:rPr>
          <w:rFonts w:ascii="Trade Gothic;sans-serif" w:hAnsi="Trade Gothic;sans-serif"/>
          <w:b w:val="false"/>
          <w:color w:val="000000"/>
          <w:sz w:val="19"/>
        </w:rPr>
        <w:t>These limitations underscore the urgent need for long-acting, procedure-integrated therapies that bypass the challenges of daily eye drop administration to improve long-term outcomes.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Interventional Treatments</w:t>
      </w:r>
    </w:p>
    <w:p>
      <w:pPr>
        <w:pStyle w:val="TextBody"/>
        <w:bidi w:val="0"/>
        <w:spacing w:lineRule="auto" w:line="288" w:before="0" w:after="240"/>
        <w:jc w:val="left"/>
        <w:rPr/>
      </w:pPr>
      <w:r>
        <w:rPr>
          <w:rFonts w:ascii="Trade Gothic;sans-serif" w:hAnsi="Trade Gothic;sans-serif"/>
          <w:b w:val="false"/>
          <w:color w:val="000000"/>
          <w:sz w:val="19"/>
        </w:rPr>
        <w:t>As longer-term interventional treatment options have become more widely available, a growing number of eye care professionals are advocating for earlier, more proactive procedural interventions to prevent vision loss. This shift reflects a broader recognition of the limitations of topical therapies and the importance of sustained IOP control. Procedural options such as selective laser trabeculoplasty (SLT) and traditional surgeries like filtration procedures, invasive trabeculectomy, and tube shunts, are used to create new drainage pathways in the eye to increase aqueous outflow and lower IOP. While SLT, a non-invasive laser procedure intended to change the targeted tissue’s drainage properties, is generally safe and repeatable, about 20% to 30% of patients are non-responders, and its efficacy diminishes in more advanced stages of glaucoma.</w:t>
      </w:r>
      <w:r>
        <w:rPr>
          <w:rFonts w:ascii="Trade Gothic;sans-serif" w:hAnsi="Trade Gothic;sans-serif"/>
          <w:b w:val="false"/>
          <w:color w:val="000000"/>
          <w:sz w:val="12"/>
        </w:rPr>
        <w:t>15</w:t>
      </w:r>
      <w:r>
        <w:rPr>
          <w:color w:val="000000"/>
        </w:rPr>
        <w:t xml:space="preserve"> </w:t>
      </w:r>
      <w:r>
        <w:rPr>
          <w:rFonts w:ascii="Trade Gothic;sans-serif" w:hAnsi="Trade Gothic;sans-serif"/>
          <w:b w:val="false"/>
          <w:color w:val="000000"/>
          <w:sz w:val="19"/>
        </w:rPr>
        <w:t xml:space="preserve">Filtration surgery, though effective, is more invasive, requiring an outpatient procedure and recovery time. As a result, many patients and providers prefer to avoid or delay invasive surgery, reserving these options for moderate to advanced disease.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MIGS products, such as trabecular bypass stents, as well as non-implant angle procedures like goniotomy and canaloplasty, are designed to enhance aqueous outflow and reduce IOP by accessing Schlemm’s canal and downstream collector channels. These procedures are typically performed in the angle of the eye, where the cornea meets the iris, and are considered minimally invasive due to limited tissue manipulation. MIGS can be combined with cataract surgery, often using the same incision, for people with mild-to-moderate OAG. In fact, some MIGS are only approved to be performed in conjunction with cataract surgery. </w:t>
      </w:r>
    </w:p>
    <w:p>
      <w:pPr>
        <w:pStyle w:val="TextBody"/>
        <w:bidi w:val="0"/>
        <w:spacing w:lineRule="auto" w:line="288" w:before="0" w:after="240"/>
        <w:jc w:val="left"/>
        <w:rPr/>
      </w:pPr>
      <w:r>
        <w:rPr>
          <w:rFonts w:ascii="Trade Gothic;sans-serif" w:hAnsi="Trade Gothic;sans-serif"/>
          <w:b w:val="false"/>
          <w:color w:val="000000"/>
          <w:sz w:val="19"/>
        </w:rPr>
        <w:t xml:space="preserve">Despite FDA approval of MIGS devices as early as 2012, out of the 10,000 cataract surgeons reported by </w:t>
      </w:r>
      <w:r>
        <w:rPr>
          <w:rFonts w:ascii="Trade Gothic;sans-serif" w:hAnsi="Trade Gothic;sans-serif"/>
          <w:b w:val="false"/>
          <w:i/>
          <w:color w:val="000000"/>
          <w:sz w:val="19"/>
        </w:rPr>
        <w:t>MarketScope 2025 Global Glaucoma Device Report</w:t>
      </w:r>
      <w:r>
        <w:rPr>
          <w:color w:val="000000"/>
        </w:rPr>
        <w:t xml:space="preserve"> </w:t>
      </w:r>
      <w:r>
        <w:rPr>
          <w:rFonts w:ascii="Trade Gothic;sans-serif" w:hAnsi="Trade Gothic;sans-serif"/>
          <w:b w:val="false"/>
          <w:color w:val="000000"/>
          <w:sz w:val="19"/>
        </w:rPr>
        <w:t>to be currently active in the United States, we estimate</w:t>
      </w:r>
      <w:r>
        <w:rPr>
          <w:rFonts w:ascii="Trade Gothic;sans-serif" w:hAnsi="Trade Gothic;sans-serif"/>
          <w:b w:val="false"/>
          <w:color w:val="000000"/>
          <w:sz w:val="12"/>
        </w:rPr>
        <w:t>16</w:t>
      </w:r>
      <w:r>
        <w:rPr>
          <w:color w:val="000000"/>
        </w:rPr>
        <w:t xml:space="preserve"> </w:t>
      </w:r>
      <w:r>
        <w:rPr>
          <w:rFonts w:ascii="Trade Gothic;sans-serif" w:hAnsi="Trade Gothic;sans-serif"/>
          <w:b w:val="false"/>
          <w:color w:val="000000"/>
          <w:sz w:val="19"/>
        </w:rPr>
        <w:t xml:space="preserve">that only one-third perform MIGS procedures routinely, which we define as at least two MIGS procedures per month. As a result, approximately two-thirds of cataract surgeons in the United States do not perform MIGS procedures routinely despite </w:t>
      </w:r>
    </w:p>
    <w:p>
      <w:pPr>
        <w:pStyle w:val="TextBody"/>
        <w:bidi w:val="0"/>
        <w:spacing w:lineRule="auto" w:line="288" w:before="0" w:after="160"/>
        <w:ind w:left="0" w:right="0" w:hanging="360"/>
        <w:jc w:val="left"/>
        <w:rPr/>
      </w:pPr>
      <w:r>
        <w:rPr>
          <w:rFonts w:ascii="Trade Gothic;sans-serif" w:hAnsi="Trade Gothic;sans-serif"/>
          <w:b w:val="false"/>
          <w:color w:val="000000"/>
          <w:sz w:val="11"/>
        </w:rPr>
        <w:t>14</w:t>
      </w:r>
      <w:r>
        <w:rPr>
          <w:color w:val="000000"/>
        </w:rPr>
        <w:t>    </w:t>
      </w:r>
      <w:r>
        <w:rPr>
          <w:rFonts w:ascii="Trade Gothic;sans-serif" w:hAnsi="Trade Gothic;sans-serif"/>
          <w:b w:val="false"/>
          <w:color w:val="000000"/>
          <w:sz w:val="17"/>
        </w:rPr>
        <w:t>Agrahari, V., Mandal, A., Agrahari, V. et al. A comprehensive insight on ocular pharmacokinetics. Drug Deliv. and Transl. Res. 6, 735–754 (2016).</w:t>
      </w:r>
    </w:p>
    <w:p>
      <w:pPr>
        <w:pStyle w:val="TextBody"/>
        <w:bidi w:val="0"/>
        <w:spacing w:lineRule="auto" w:line="288" w:before="0" w:after="160"/>
        <w:ind w:left="0" w:right="0" w:hanging="360"/>
        <w:jc w:val="left"/>
        <w:rPr/>
      </w:pPr>
      <w:r>
        <w:rPr>
          <w:rFonts w:ascii="Trade Gothic;sans-serif" w:hAnsi="Trade Gothic;sans-serif"/>
          <w:b w:val="false"/>
          <w:color w:val="000000"/>
          <w:sz w:val="11"/>
        </w:rPr>
        <w:t>15</w:t>
      </w:r>
      <w:r>
        <w:rPr>
          <w:color w:val="000000"/>
        </w:rPr>
        <w:t>    </w:t>
      </w:r>
      <w:r>
        <w:rPr>
          <w:rFonts w:ascii="Trade Gothic;sans-serif" w:hAnsi="Trade Gothic;sans-serif"/>
          <w:b w:val="false"/>
          <w:color w:val="000000"/>
          <w:sz w:val="17"/>
        </w:rPr>
        <w:t>Naito, T.; Nitta, K.; Miki, T.; Narita, A.; Kimura, T.; Ikuno, Y.; Mizoue, S.; Katai, M.; Saito, Y.; Nanno, M.; et al. Two-Year Outcome of Selective Laser Trabeculoplasty for Normal-Tension Glaucoma in Japan: First-Line or Second-Line Selective Laser Trabeculoplasty (FSS) Study. J. Clin. Med. 2025, 14 3459. https://doi.org/10.3390/jcm14103459.</w:t>
      </w:r>
    </w:p>
    <w:p>
      <w:pPr>
        <w:pStyle w:val="TextBody"/>
        <w:bidi w:val="0"/>
        <w:spacing w:lineRule="auto" w:line="288" w:before="0" w:after="0"/>
        <w:jc w:val="left"/>
        <w:rPr/>
      </w:pPr>
      <w:r>
        <w:rPr>
          <w:rFonts w:ascii="Trade Gothic;sans-serif" w:hAnsi="Trade Gothic;sans-serif"/>
          <w:b w:val="false"/>
          <w:color w:val="000000"/>
          <w:sz w:val="11"/>
        </w:rPr>
        <w:t>16</w:t>
      </w:r>
      <w:r>
        <w:rPr>
          <w:color w:val="000000"/>
        </w:rPr>
        <w:t>    </w:t>
      </w:r>
      <w:r>
        <w:rPr>
          <w:rFonts w:ascii="Trade Gothic;sans-serif" w:hAnsi="Trade Gothic;sans-serif"/>
          <w:b w:val="false"/>
          <w:color w:val="000000"/>
          <w:sz w:val="17"/>
        </w:rPr>
        <w:t>Based on data taken from Definitive Healthcare Report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0335"/>
                <wp:effectExtent l="0" t="0" r="0" b="0"/>
                <wp:wrapNone/>
                <wp:docPr id="22" name="Frame1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 estimated 20% of their cataract patients having glaucoma or OHT. We believe that this low adoption rate is due to several key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Specialized skills and training requirements</w:t>
      </w:r>
      <w:r>
        <w:rPr>
          <w:color w:val="000000"/>
        </w:rPr>
        <w:t xml:space="preserve"> </w:t>
      </w:r>
      <w:r>
        <w:rPr>
          <w:rFonts w:ascii="Trade Gothic;sans-serif" w:hAnsi="Trade Gothic;sans-serif"/>
          <w:b w:val="false"/>
          <w:color w:val="000000"/>
          <w:sz w:val="19"/>
        </w:rPr>
        <w:t>for angle-based surgery, such as the need for proficiency in gonioscopy and changes in post-operative recovery and care routines;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Technical discomfort</w:t>
      </w:r>
      <w:r>
        <w:rPr>
          <w:rFonts w:ascii="Trade Gothic;sans-serif" w:hAnsi="Trade Gothic;sans-serif"/>
          <w:b w:val="false"/>
          <w:color w:val="000000"/>
          <w:sz w:val="19"/>
        </w:rPr>
        <w:t>, as MIGS procedures require using the nondominant hand for gonioscopy while operating with the dominant hand;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color w:val="000000"/>
          <w:sz w:val="19"/>
        </w:rPr>
        <w:t>Workflow disruption</w:t>
      </w:r>
      <w:r>
        <w:rPr>
          <w:rFonts w:ascii="Trade Gothic;sans-serif" w:hAnsi="Trade Gothic;sans-serif"/>
          <w:b w:val="false"/>
          <w:color w:val="000000"/>
          <w:sz w:val="19"/>
        </w:rPr>
        <w:t>, such as patient head tilting, microscope repositioning, and additional post-operative follow-up care, which changes the routine of standalone cataract surgery.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these challenges introduce friction into the decision-making process for cataract surgeons. These barriers have hindered broader adoption and prevented MIGS from fully penetrating the cataract surgery market, despite a large population of eligible glaucoma and OHT patients. This underutilization has created a significant gap in care for glaucoma patients undergoing cataract surgery representing a substantial commercial opportunity for a more intuitive, integrated solution.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Similarly, novel procedural pharmaceuticals such as intracameral implants offer sustained drug delivery, but present their own limitations. These implants are placed near the cornea and iris, which can result in corneal endothelial cell loss, inflammation, or other complications. Similar to MIGS, non-bioerodible intracameral implants also require specialized training, use of nondominant hand, mid-surgery adjustments of the patient and microscope, and additional post-operative follow-up care. To date, adoption of these implants has been limited.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limitations underscore the need for a less invasive, durable solution that can be deployed earlier in the glaucoma treatment paradigm – bridging the gap between topical therapy and traditional surgery, thus enabling broader adoption across the cataract surgeon community.</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Cataracts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cataract is a common, progressive ocular condition in which the normally clear lens of the eye becomes clouded, resulting in impaired vision. While age-related changes are the most frequent cause, cataracts can also develop due to hereditary factors, diabetes, prolonged exposure to ultraviolet radiation or other environmental influences, ocular trauma, and the use of certain medications such as corticosteroids. As cataracts progress, patients typically experience blurred or dim vision, increased sensitivity to light and glare, difficulty with night vision, and fading or yellowing of colors. Cataracts are the leading cause of blindness worldwide; however, vision loss is highly treatable with surgery.</w:t>
      </w:r>
    </w:p>
    <w:p>
      <w:pPr>
        <w:pStyle w:val="TextBody"/>
        <w:bidi w:val="0"/>
        <w:spacing w:lineRule="auto" w:line="288" w:before="0" w:after="240"/>
        <w:jc w:val="left"/>
        <w:rPr/>
      </w:pPr>
      <w:r>
        <w:rPr>
          <w:rFonts w:ascii="Trade Gothic;sans-serif" w:hAnsi="Trade Gothic;sans-serif"/>
          <w:b w:val="false"/>
          <w:color w:val="000000"/>
          <w:sz w:val="19"/>
        </w:rPr>
        <w:t>Cataract surgery is one of the most frequently performed surgical procedures, with an estimated 32 million procedures expected to be performed globally and five million procedures expected to be performed in the United States in 2025.</w:t>
      </w:r>
      <w:r>
        <w:rPr>
          <w:rFonts w:ascii="Trade Gothic;sans-serif" w:hAnsi="Trade Gothic;sans-serif"/>
          <w:b w:val="false"/>
          <w:color w:val="000000"/>
          <w:sz w:val="12"/>
        </w:rPr>
        <w:t>17</w:t>
      </w:r>
      <w:r>
        <w:rPr>
          <w:color w:val="000000"/>
        </w:rPr>
        <w:t xml:space="preserve"> </w:t>
      </w:r>
      <w:r>
        <w:rPr>
          <w:rFonts w:ascii="Trade Gothic;sans-serif" w:hAnsi="Trade Gothic;sans-serif"/>
          <w:b w:val="false"/>
          <w:color w:val="000000"/>
          <w:sz w:val="19"/>
        </w:rPr>
        <w:t xml:space="preserve">The number of procedures performed in the United States is expected to increase by 3% to 4% per year, according to </w:t>
      </w:r>
      <w:r>
        <w:rPr>
          <w:rFonts w:ascii="Trade Gothic;sans-serif" w:hAnsi="Trade Gothic;sans-serif"/>
          <w:b w:val="false"/>
          <w:i/>
          <w:color w:val="000000"/>
          <w:sz w:val="19"/>
        </w:rPr>
        <w:t>MarketScope Ophthalmic Market Trends Q2-2025 US Cataract Edition</w:t>
      </w:r>
      <w:r>
        <w:rPr>
          <w:rFonts w:ascii="Trade Gothic;sans-serif" w:hAnsi="Trade Gothic;sans-serif"/>
          <w:b w:val="false"/>
          <w:color w:val="000000"/>
          <w:sz w:val="19"/>
        </w:rPr>
        <w:t xml:space="preserve">. The procedure involves the removal of the clouded natural lens and replacement with a clear artificial IOL in the capsular bag of the eye to restore vision.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IOLs are available in several designs to address different visual needs. Monofocal IOLs, which are the most commonly used, provide clear vision at a single focal distance, typically distance vision, while toric IOLs correct for astigmatism, a condition where vision is blurry because the cornea is or has become irregularly shaped. Multifocal and extended depth-of-focus IOLs can improve vision across multiple distances, reducing dependence on glasses or contact lenses, however these are not typically indicated for glaucoma patients. Ongoing innovation in lens materials and optics continues to expand options for patients, with premium IOLs increasingly addressing both refractive errors (such as astigmatism) and presbyopia (a loss of near vision) in addition to cataract removal.</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Our Solution – The SpyGlass Platform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technology is a novel, proprietary non-bioerodible drug delivery platform (the SpyGlass Platform) that is designed to be used with various well-established, approved medicines, including bimatoprost and other small molecules, providing flexibility to potentially treat a range of conditions in the front and back of the eye. We are initially leveraging this technology to develop two novel systems to be implanted into the anterior segment of the eye: our IOL-mounted drug pad delivery system (the Drug Pad-IOL System) and our non-IOL-based, ring-shaped, sustained release implant (the DRS). Both systems are designed to enable long-term, sustained delivery of various medicines and are currently being developed with bimatoprost.</w:t>
      </w:r>
    </w:p>
    <w:p>
      <w:pPr>
        <w:pStyle w:val="TextBody"/>
        <w:bidi w:val="0"/>
        <w:spacing w:lineRule="auto" w:line="288" w:before="0" w:after="0"/>
        <w:jc w:val="left"/>
        <w:rPr/>
      </w:pPr>
      <w:r>
        <w:rPr>
          <w:rFonts w:ascii="Trade Gothic;sans-serif" w:hAnsi="Trade Gothic;sans-serif"/>
          <w:b w:val="false"/>
          <w:color w:val="000000"/>
          <w:sz w:val="11"/>
        </w:rPr>
        <w:t>17</w:t>
      </w:r>
      <w:r>
        <w:rPr>
          <w:color w:val="000000"/>
        </w:rPr>
        <w:t>     </w:t>
      </w:r>
      <w:r>
        <w:rPr>
          <w:rFonts w:ascii="Trade Gothic;sans-serif" w:hAnsi="Trade Gothic;sans-serif"/>
          <w:b w:val="false"/>
          <w:color w:val="000000"/>
          <w:sz w:val="17"/>
        </w:rPr>
        <w:t>MarketScope 2025 Global Glaucoma Device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0335"/>
                <wp:effectExtent l="0" t="0" r="0" b="0"/>
                <wp:wrapNone/>
                <wp:docPr id="23" name="Frame1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the benefits of our approach present a number of benefits, which are further described in “—Our Technology and Approach”:</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long-term drug delivery that may improve outcomes;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ultralow dose and potential to improve quality of life;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seamless integration into existing surgical workflow;</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confidence with established reimbursement pathways;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patient care with attractive facility economics; and </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scalability and durability.</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The BIM-IOL System, Our Lead Product Candidate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BIM-IOL System is based on our Drug Pad-IOL System, with drug pads that elute bimatoprost, a PGA approved for topical use by the FDA in 2001 for the reduction of elevated IOP in patients with OAG or OHT. The BIM-IOL System is designed to address key limitations of current glaucoma care by enabling cataract surgeons to treat elevated IOP when performing their routine cataract procedures, thereby reducing the reliance on patient adherence to topical medications in managing IOP. The BIM-IOL System is designed for long-acting, sustained delivery of bimatoprost over three years, which we believe can reduce or eliminate the need for daily topical medications. In addition, the system is designed to seamlessly integrate into the existing procedural workflow of routine cataract surgery, enabling surgeons to deliver sustained IOP-reducing therapy during cataract surgery without altering their surgical workflow, which we believe has the potential to triple the number of cataract surgeons who treat OAG or OHT routinely at the time of cataract surgery. By combining a known drug (bimatoprost), a known procedure (cataract surgery), and a known device type (IOL), the BIM-IOL System aims to deliver a solution that addresses both cataracts and elevated IOP in a single, streamlined intervention.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July 2025, we initiated two registrational Phase 3 clinical trials, each of which is expected to enroll approximately 400 patients across 45 sites. We expect to complete enrollment in 2027 and, pending successful Phase 3 results, we plan to submit a 505(b)(2) NDA to the FDA in 2028.</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Preclinical Studies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conducted two nonclinical studies in New Zealand White rabbits to evaluate the toxicity and toxicokinetics of the BIM-IOL System. The implant was designed to elute a steady concentration of bimatoprost over three years; thus, only single-dose toxicity studies were conducted. Rabbits were selected due to their anatomical similarity to human eyes and their established use in ocular toxicology. Appropriate controls, including a no-drug implant consisting of silicone pads without drug and for the 39-week study, a standard commercial IOL, were used to differentiate findings related to the surgical procedure from those that were potentially attributable to bimatoprost exposure and/or the presence of the BIM-IOL System. In one study, 15 animals were monitored for 28 days, and in a second study, 20 animals were monitored for 39 weeks, in each case, post-implantation, with assessments including clinical observations, body weights, qualitative food consumption, ocular irritation scoring, ophthalmic observations, IOP measurements, slit-lamp ocular photography, and histopathology blood samples were collected for toxicokinetic evaluation. Aqueous humor samples were collected for bioanalysis.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both studies, a number of expected procedure-related microscopic or ophthalmic findings typically associated with cataract surgery and IOL implantation were observed across all groups, including conjunctival hyperemia, chemosis, ocular discharge, corneal sutures, corneal edema/scars at the incision, a focal wrinkle in the corneal endothelium at the incision, air bubbles in the anterior chamber, vascularization of the corneal incision, transient corneal erosions, corneal edema, aqueous flare/cell, fibrin in the anterior chamber, peripheral anterior synechia, posterior synechia, iris hyperemia, lens capsule haze/lens fiber regrowth, presence of an IOL, vitreous haze, and degraded view of the fundus due to anterior segment changes. The inflammatory response was comparable across the groups in each study, and for the 39-week study, was comparable to the standard commercial IOL control group. Importantly, no bimatoprost-related ophthalmic or microscopic observations were noted.</w:t>
      </w:r>
    </w:p>
    <w:p>
      <w:pPr>
        <w:pStyle w:val="TextBody"/>
        <w:bidi w:val="0"/>
        <w:spacing w:lineRule="auto" w:line="288" w:before="0" w:after="240"/>
        <w:jc w:val="left"/>
        <w:rPr/>
      </w:pPr>
      <w:r>
        <w:rPr>
          <w:rFonts w:ascii="Trade Gothic;sans-serif" w:hAnsi="Trade Gothic;sans-serif"/>
          <w:b w:val="false"/>
          <w:color w:val="000000"/>
          <w:sz w:val="19"/>
        </w:rPr>
        <w:t xml:space="preserve">Under the conditions of the pivotal, 39-week, single-dose toxicity study, the no observed adverse effect level (NOAEL) for bimatoprost was determined to be 300 mcg/eye/dose (1000 ng/eye/day </w:t>
      </w:r>
      <w:r>
        <w:rPr>
          <w:rFonts w:ascii="Trade Gothic;sans-serif" w:hAnsi="Trade Gothic;sans-serif"/>
          <w:b w:val="false"/>
          <w:i/>
          <w:color w:val="000000"/>
          <w:sz w:val="19"/>
        </w:rPr>
        <w:t>in vitro</w:t>
      </w:r>
      <w:r>
        <w:rPr>
          <w:rFonts w:ascii="Trade Gothic;sans-serif" w:hAnsi="Trade Gothic;sans-serif"/>
          <w:b w:val="false"/>
          <w:color w:val="000000"/>
          <w:sz w:val="19"/>
        </w:rPr>
        <w:t>), which was also the highest dose tested. Following bilateral administration, plasma levels of the bimatoprost and bimatoprost acid remained below the lower limit of quantitation for all samples collected at all time points, indicating no systemic exposure.</w:t>
      </w:r>
    </w:p>
    <w:p>
      <w:pPr>
        <w:pStyle w:val="TextBody"/>
        <w:bidi w:val="0"/>
        <w:spacing w:lineRule="auto" w:line="288" w:before="0" w:after="240"/>
        <w:jc w:val="left"/>
        <w:rPr/>
      </w:pPr>
      <w:r>
        <w:rPr>
          <w:rFonts w:ascii="Trade Gothic;sans-serif" w:hAnsi="Trade Gothic;sans-serif"/>
          <w:b w:val="false"/>
          <w:color w:val="000000"/>
          <w:sz w:val="19"/>
        </w:rPr>
        <w:t xml:space="preserve">Additionally, long-term </w:t>
      </w:r>
      <w:r>
        <w:rPr>
          <w:rFonts w:ascii="Trade Gothic;sans-serif" w:hAnsi="Trade Gothic;sans-serif"/>
          <w:b w:val="false"/>
          <w:i/>
          <w:color w:val="000000"/>
          <w:sz w:val="19"/>
        </w:rPr>
        <w:t>in vitro</w:t>
      </w:r>
      <w:r>
        <w:rPr>
          <w:color w:val="000000"/>
        </w:rPr>
        <w:t xml:space="preserve"> </w:t>
      </w:r>
      <w:r>
        <w:rPr>
          <w:rFonts w:ascii="Trade Gothic;sans-serif" w:hAnsi="Trade Gothic;sans-serif"/>
          <w:b w:val="false"/>
          <w:color w:val="000000"/>
          <w:sz w:val="19"/>
        </w:rPr>
        <w:t>release studies have demonstrated that our BIM-IOL System delivered bimatoprost in a sustained and consistent manner over multiple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0335"/>
                <wp:effectExtent l="0" t="0" r="0" b="0"/>
                <wp:wrapNone/>
                <wp:docPr id="24" name="Frame1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pPr>
      <w:r>
        <w:rPr>
          <w:rFonts w:ascii="Trade Gothic;sans-serif" w:hAnsi="Trade Gothic;sans-serif"/>
          <w:b/>
          <w:color w:val="000000"/>
          <w:sz w:val="19"/>
        </w:rPr>
        <w:t xml:space="preserve">Consistent Daily Release of Bimatoprost </w:t>
      </w:r>
      <w:r>
        <w:rPr>
          <w:rFonts w:ascii="Trade Gothic;sans-serif" w:hAnsi="Trade Gothic;sans-serif"/>
          <w:b/>
          <w:i/>
          <w:color w:val="000000"/>
          <w:sz w:val="19"/>
        </w:rPr>
        <w:t>in vitro</w:t>
      </w:r>
      <w:r>
        <w:rPr>
          <w:color w:val="000000"/>
        </w:rPr>
        <w:t xml:space="preserve"> </w:t>
      </w:r>
      <w:r>
        <w:rPr>
          <w:rFonts w:ascii="Trade Gothic;sans-serif" w:hAnsi="Trade Gothic;sans-serif"/>
          <w:b/>
          <w:color w:val="000000"/>
          <w:sz w:val="19"/>
        </w:rPr>
        <w:t xml:space="preserve">Maintained Over Three Years </w:t>
      </w:r>
    </w:p>
    <w:p>
      <w:pPr>
        <w:pStyle w:val="TextBody"/>
        <w:bidi w:val="0"/>
        <w:spacing w:before="0" w:after="240"/>
        <w:jc w:val="center"/>
        <w:rPr/>
      </w:pPr>
      <w:r>
        <w:rPr/>
        <w:drawing>
          <wp:inline distT="0" distB="0" distL="0" distR="0">
            <wp:extent cx="4114800" cy="160972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4114800" cy="1609725"/>
                    </a:xfrm>
                    <a:prstGeom prst="rect">
                      <a:avLst/>
                    </a:prstGeom>
                  </pic:spPr>
                </pic:pic>
              </a:graphicData>
            </a:graphic>
          </wp:inline>
        </w:drawing>
      </w:r>
      <w:bookmarkStart w:id="7" w:name="i-8"/>
      <w:bookmarkEnd w:id="7"/>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First-in-Human Clinical Trial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Based on our preclinical results, we designed a FIH trial to evaluate the BIM-IOL System with 75 mcg, 150 mcg and 300 mcg of bimatoprost. We completed enrollment in our FIH trial in June 2022.</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Trial Design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single center, ex-U.S. prospective FIH clinical trial in Honduras evaluates the safety and efficacy of the BIM-IOL System in patients previously diagnosed with mild-to-moderate OAG or OHT and a concomitant cataract and who were taking between one and three topical IOP-lowering medications. Enrolled patients were sequentially assigned 1:1:1 into three groups, where patients received a BIM-IOL System containing 75, 150 or 300 mcg of bimatoprost that continuously released a low (1x), mid (2x) or high (4x) dose of bimatoprost per day, respectively. The 23 enrolled patients who met the surgical eligibility criteria received the BIM-IOL System at the time of cataract surgery in one eye after receiving a baseline washout of all IOP-lowering medications. Participants are examined at multiple time points of follow-up, including at one, three, six, nine, 12, 18 and 36 months. Patients will continue to be followed through seven years, and we plan to provide annual updates.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Key efficacy endpoints include the assessment of topical glaucoma medication use and measurement of IOP reduction from baseline at each follow-up time. Key safety endpoints include best corrected distance visual acuity (BCDVA), assessment of AEs, and slit lamp examination, each at multiple time points of follow-up, and endothelial cell density at the 12-month follow-up.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overall design of the trial is outlined in the following figure.</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First-in-Human Trial Design</w:t>
      </w:r>
    </w:p>
    <w:p>
      <w:pPr>
        <w:pStyle w:val="TextBody"/>
        <w:bidi w:val="0"/>
        <w:spacing w:before="0" w:after="240"/>
        <w:jc w:val="center"/>
        <w:rPr/>
      </w:pPr>
      <w:r>
        <w:rPr/>
        <w:drawing>
          <wp:inline distT="0" distB="0" distL="0" distR="0">
            <wp:extent cx="5838825" cy="115252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5838825" cy="1152525"/>
                    </a:xfrm>
                    <a:prstGeom prst="rect">
                      <a:avLst/>
                    </a:prstGeom>
                  </pic:spPr>
                </pic:pic>
              </a:graphicData>
            </a:graphic>
          </wp:inline>
        </w:drawing>
      </w:r>
      <w:bookmarkStart w:id="8" w:name="i-9"/>
      <w:bookmarkEnd w:id="8"/>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Interim Trial Results at 36 Months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At 36 months, 95% of evaluable patients (n=21) were off all topical IOP-lowering drops. In addition, we observed a statistically significant reduction in mean IOP from 25.1 ± 2.5 mmHg at baseline post-washout to 15.9 ± 2.8 mmHg at 36 months (p&lt;0.0001), with a mean IOP reduction of 37% across all doses compared to baseline. 100% of evaluable patients achieved an IOP reduction of more than 20% from baseline and 90.5% (19/21) of evaluable patients maintained an IOP ≤18 mmHg through 36 months. As expected, there was no statistically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0335"/>
                <wp:effectExtent l="0" t="0" r="0" b="0"/>
                <wp:wrapNone/>
                <wp:docPr id="27" name="Frame1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difference in IOP reduction across the three dosage groups tested. The mean IOP observed for each dose group at screening, baseline and each follow-up period through 36 months is summarized in the figure below.</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Mean IOP Reduction Sustained over 36 Months Across All Doses</w:t>
      </w:r>
    </w:p>
    <w:p>
      <w:pPr>
        <w:pStyle w:val="TextBody"/>
        <w:bidi w:val="0"/>
        <w:spacing w:before="0" w:after="240"/>
        <w:jc w:val="center"/>
        <w:rPr/>
      </w:pPr>
      <w:r>
        <w:rPr/>
        <w:drawing>
          <wp:inline distT="0" distB="0" distL="0" distR="0">
            <wp:extent cx="5943600" cy="286702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5943600" cy="2867025"/>
                    </a:xfrm>
                    <a:prstGeom prst="rect">
                      <a:avLst/>
                    </a:prstGeom>
                  </pic:spPr>
                </pic:pic>
              </a:graphicData>
            </a:graphic>
          </wp:inline>
        </w:drawing>
      </w:r>
      <w:bookmarkStart w:id="9" w:name="i-10"/>
      <w:bookmarkEnd w:id="9"/>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At baseline, patient vision, as measured by BCDVA, ranged from 20/30 to 20/100. At 36 months, patient vision for 100% of evaluable patients had improved to a BCDVA of 20/30 or better, and 62% (13/21) of evaluable patients improved to a BCDVA of 20/20 or better. The figure below depicts changes in BCDVA across all dose groups from screening to 36 months.</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Improvement in BCDVA at 36 Months Across All Doses</w:t>
      </w:r>
    </w:p>
    <w:tbl>
      <w:tblPr>
        <w:tblW w:w="2985" w:type="dxa"/>
        <w:jc w:val="center"/>
        <w:tblInd w:w="0" w:type="dxa"/>
        <w:tblLayout w:type="fixed"/>
        <w:tblCellMar>
          <w:top w:w="28" w:type="dxa"/>
          <w:left w:w="28" w:type="dxa"/>
          <w:bottom w:w="28" w:type="dxa"/>
          <w:right w:w="28" w:type="dxa"/>
        </w:tblCellMar>
      </w:tblPr>
      <w:tblGrid>
        <w:gridCol w:w="418"/>
        <w:gridCol w:w="366"/>
        <w:gridCol w:w="371"/>
        <w:gridCol w:w="285"/>
        <w:gridCol w:w="285"/>
        <w:gridCol w:w="286"/>
        <w:gridCol w:w="285"/>
        <w:gridCol w:w="285"/>
        <w:gridCol w:w="404"/>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707070"/>
              <w:left w:val="single" w:sz="8" w:space="0" w:color="707070"/>
            </w:tcBorders>
            <w:shd w:fill="0D2D5E"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707070"/>
            </w:tcBorders>
            <w:shd w:fill="0D2D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right w:val="single" w:sz="8" w:space="0" w:color="707070"/>
            </w:tcBorders>
            <w:shd w:fill="0D2D5E"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left w:val="single" w:sz="8" w:space="0" w:color="707070"/>
            </w:tcBorders>
            <w:shd w:fill="0D2D5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D2D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Screening</w:t>
            </w:r>
          </w:p>
        </w:tc>
        <w:tc>
          <w:tcPr>
            <w:tcW w:w="974" w:type="dxa"/>
            <w:gridSpan w:val="3"/>
            <w:tcBorders>
              <w:right w:val="single" w:sz="8" w:space="0" w:color="707070"/>
            </w:tcBorders>
            <w:shd w:fill="0D2D5E"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36 Months</w:t>
            </w:r>
          </w:p>
        </w:tc>
      </w:tr>
      <w:tr>
        <w:trPr/>
        <w:tc>
          <w:tcPr>
            <w:tcW w:w="1155" w:type="dxa"/>
            <w:gridSpan w:val="3"/>
            <w:tcBorders>
              <w:left w:val="single" w:sz="8" w:space="0" w:color="707070"/>
            </w:tcBorders>
            <w:shd w:fill="0D2D5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D2D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707070"/>
            </w:tcBorders>
            <w:shd w:fill="0D2D5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left w:val="single" w:sz="8" w:space="0" w:color="707070"/>
            </w:tcBorders>
            <w:tcMar>
              <w:top w:w="0" w:type="dxa"/>
              <w:left w:w="78"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23</w:t>
            </w:r>
          </w:p>
        </w:tc>
        <w:tc>
          <w:tcPr>
            <w:tcW w:w="974"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21</w:t>
            </w:r>
          </w:p>
        </w:tc>
      </w:tr>
      <w:tr>
        <w:trPr/>
        <w:tc>
          <w:tcPr>
            <w:tcW w:w="115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left w:val="single" w:sz="8" w:space="0" w:color="707070"/>
            </w:tcBorders>
            <w:tcMar>
              <w:top w:w="0" w:type="dxa"/>
              <w:left w:w="78"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20/20 or better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974"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115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left w:val="single" w:sz="8" w:space="0" w:color="707070"/>
            </w:tcBorders>
            <w:tcMar>
              <w:top w:w="0" w:type="dxa"/>
              <w:left w:w="78"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 or better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974"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15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left w:val="single" w:sz="8" w:space="0" w:color="707070"/>
            </w:tcBorders>
            <w:tcMar>
              <w:top w:w="0" w:type="dxa"/>
              <w:left w:w="78"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20/40 or better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974"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155" w:type="dxa"/>
            <w:gridSpan w:val="3"/>
            <w:tcBorders>
              <w:left w:val="single" w:sz="8" w:space="0" w:color="707070"/>
              <w:bottom w:val="single" w:sz="8" w:space="0" w:color="707070"/>
            </w:tcBorders>
            <w:tcMar>
              <w:top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70707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707070"/>
              <w:right w:val="single" w:sz="8" w:space="0" w:color="70707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0335"/>
                <wp:effectExtent l="0" t="0" r="0" b="0"/>
                <wp:wrapNone/>
                <wp:docPr id="29" name="Frame1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Overall, the BIM-IOL System was well-tolerated. All AEs that were observed were considered to be related to the cataract procedure and none were deemed to be associated with our product candidate. The figure below depicts all study-eye AEs reported in our FIH trial through 36 months (cumulative), none of which were serious AEs (SAEs).</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All Reported Study-Eye AEs Across All Dose Groups Through 36 Months</w:t>
      </w:r>
    </w:p>
    <w:tbl>
      <w:tblPr>
        <w:tblW w:w="5294" w:type="dxa"/>
        <w:jc w:val="center"/>
        <w:tblInd w:w="0" w:type="dxa"/>
        <w:tblLayout w:type="fixed"/>
        <w:tblCellMar>
          <w:top w:w="28" w:type="dxa"/>
          <w:left w:w="28" w:type="dxa"/>
          <w:bottom w:w="28" w:type="dxa"/>
          <w:right w:w="28" w:type="dxa"/>
        </w:tblCellMar>
      </w:tblPr>
      <w:tblGrid>
        <w:gridCol w:w="941"/>
        <w:gridCol w:w="825"/>
        <w:gridCol w:w="829"/>
        <w:gridCol w:w="324"/>
        <w:gridCol w:w="324"/>
        <w:gridCol w:w="326"/>
        <w:gridCol w:w="505"/>
        <w:gridCol w:w="505"/>
        <w:gridCol w:w="715"/>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shd w:fill="0D2D5E" w:val="clear"/>
            <w:tcMar>
              <w:top w:w="3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Adverse Event</w:t>
            </w:r>
          </w:p>
        </w:tc>
        <w:tc>
          <w:tcPr>
            <w:tcW w:w="974" w:type="dxa"/>
            <w:gridSpan w:val="3"/>
            <w:tcBorders>
              <w:top w:val="single" w:sz="8" w:space="0" w:color="707070"/>
            </w:tcBorders>
            <w:shd w:fill="0D2D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n = 23 (%)</w:t>
            </w:r>
          </w:p>
        </w:tc>
        <w:tc>
          <w:tcPr>
            <w:tcW w:w="1725" w:type="dxa"/>
            <w:gridSpan w:val="3"/>
            <w:tcBorders>
              <w:top w:val="single" w:sz="8" w:space="0" w:color="707070"/>
              <w:right w:val="single" w:sz="8" w:space="0" w:color="707070"/>
            </w:tcBorders>
            <w:shd w:fill="0D2D5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Related to Product</w:t>
              <w:br/>
              <w:t>Candidate</w:t>
            </w:r>
          </w:p>
        </w:tc>
      </w:tr>
      <w:tr>
        <w:trPr/>
        <w:tc>
          <w:tcPr>
            <w:tcW w:w="2595" w:type="dxa"/>
            <w:gridSpan w:val="3"/>
            <w:tcBorders>
              <w:left w:val="single" w:sz="8" w:space="0" w:color="707070"/>
            </w:tcBorders>
            <w:shd w:fill="0D2D5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0D2D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shd w:fill="0D2D5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Dry eye</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(21.7%)</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BCDVA loss of ≥ 2 lines</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(13.0%)</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Blepharitis</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(4.3%)</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Conjunctival chemosis</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(4.3%)</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Conjunctival hemorrhage</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(8.7%)</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Conjunctival hyperemia</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(4.3%)</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Corneal laceration</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(4.3%)</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Corneal scar</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(4.3%)</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Iris prolapse</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(4.3%)</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Meibomian gland dysfunction</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(4.3%)</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right w:val="single" w:sz="8" w:space="0" w:color="70707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707070"/>
              <w:left w:val="single" w:sz="8" w:space="0" w:color="70707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7070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707070"/>
              <w:right w:val="single" w:sz="8" w:space="0" w:color="70707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left w:val="single" w:sz="8" w:space="0" w:color="707070"/>
            </w:tcBorders>
            <w:tcMar>
              <w:top w:w="0" w:type="dxa"/>
              <w:left w:w="6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Photokeratitis</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(4.3%)</w:t>
            </w:r>
          </w:p>
        </w:tc>
        <w:tc>
          <w:tcPr>
            <w:tcW w:w="1725" w:type="dxa"/>
            <w:gridSpan w:val="3"/>
            <w:tcBorders>
              <w:right w:val="single" w:sz="8" w:space="0" w:color="70707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2595" w:type="dxa"/>
            <w:gridSpan w:val="3"/>
            <w:tcBorders>
              <w:left w:val="single" w:sz="8" w:space="0" w:color="707070"/>
              <w:bottom w:val="single" w:sz="8" w:space="0" w:color="707070"/>
            </w:tcBorders>
            <w:tcMar>
              <w:top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70707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707070"/>
              <w:right w:val="single" w:sz="8" w:space="0" w:color="70707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Phase 1/2 Clinical Trial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Based on the results of our FIH trial, we designed a Phase 1/2 trial to evaluate the safety and efficacy of the BIM-IOL System with 39 mcg and 78 mcg of bimatoprost, which are designed to have similar daily release profiles to the 75 and 150 mcg doses in our FIH trial, respectively. The BIM-IOL System in the Phase 1/2 trial is designed to deliver bimatoprost over three years. Our investigational new drug application (IND) for the Phase 1/2 trial of the BIM-IOL System in patients with OAG or OHT undergoing cataract surgery was cleared by the FDA, and we completed enrollment in November 2024. In March 2026, we reported positive topline 12-month data from Phase 1/2 trial of BIM-IOL System as further described below in “Topline Interim Trial Results at Twelve Months” and we plan to provide yearly updates through three years. </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Trial Design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prospective, multicenter, randomized, double-masked, controlled Phase 1/2 clinical trial evaluates the safety and efficacy of the BIM-IOL System in patients previously diagnosed with OAG or OHT and a concomitant cataract, who are taking up to three IOP-lowering medications. The trial is being conducted at sites in the United States, New Zealand and Asia.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Enrolled patients were randomized into three groups at a ratio of 2:1:1 to receive the BIM-IOL System (78 mcg) with daily administration of artificial tear drops, the BIM-IOL System (39 mcg) with daily administration of artificial tear drops, or a commercially available aspheric monofocal IOL with twice-daily administration of timolol maleate 0.5%, as the control group. The 104 enrolled patients who met the surgical eligibility criteria received cataract surgery in one eye (the study eye) after receiving a baseline washout of all IOP-lowering medications. Patients are examined at two time points (8 and 10 a.m.) for each follow-up visit at two weeks, six weeks and three months, and will continue to be followed through at least 36 months.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primary endpoint of the Phase 1/2 trial is the mean IOP reduction from baseline at multiple time points of follow-up. Secondary endpoints include mean IOP reduction from baseline, mean IOP, time to reintroduction and number of IOP-lowering medications, and proportion of eyes achieving BCDVA 20/40 or better. Safety endpoints include assessment of AEs, endothelial cell density, slit lamp examination, and patient-reported quality of vision, each at multiple time points of follow-up.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overall design of the trial is outlined in the following figure.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0335"/>
                <wp:effectExtent l="0" t="0" r="0" b="0"/>
                <wp:wrapNone/>
                <wp:docPr id="30" name="Frame2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 xml:space="preserve">Phase 1/2 Clinical Trial Design </w:t>
      </w:r>
    </w:p>
    <w:p>
      <w:pPr>
        <w:pStyle w:val="TextBody"/>
        <w:bidi w:val="0"/>
        <w:spacing w:before="0" w:after="240"/>
        <w:jc w:val="center"/>
        <w:rPr/>
      </w:pPr>
      <w:r>
        <w:rPr/>
        <w:drawing>
          <wp:inline distT="0" distB="0" distL="0" distR="0">
            <wp:extent cx="5848350" cy="11049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5848350" cy="1104900"/>
                    </a:xfrm>
                    <a:prstGeom prst="rect">
                      <a:avLst/>
                    </a:prstGeom>
                  </pic:spPr>
                </pic:pic>
              </a:graphicData>
            </a:graphic>
          </wp:inline>
        </w:drawing>
      </w:r>
      <w:bookmarkStart w:id="10" w:name="i-11"/>
      <w:bookmarkEnd w:id="10"/>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Preliminary Trial Results at Three Months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At three months, the BIM-IOL System demonstrated a mean IOP reduction of 37% and 36% in the 78 mcg and 39 mcg dose groups, respectively. IOP reductions were comparable to the control group at three months in both dose groups, as expected. The 78 mcg dose group, which has a similar daily release profile to our intended Phase 3 dose, performed slightly better than the 39 mcg group. At three months, we observed mean IOP reductions of -9.29 mmHg (8 a.m.) and -9.19 mmHg (10 a.m.) for the 78 mcg dose group, -9.64 mmHg (8 a.m.) and -8.70 mmHg (10 a.m.) for the 39 mcg dose group, and -9.63 mmHg (8 a.m.) and -10.24 mmHg (10 a.m.) for the control group. These results demonstrated minimal differences in treatment between the BIM-IOL System and control groups at three months. The mean IOP observed for each dose group and the control group at baseline and each follow-up period through three months is summarized in the figure below. </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Mean IOP Reduction Sustained over Three Months Across All Doses</w:t>
      </w:r>
    </w:p>
    <w:p>
      <w:pPr>
        <w:pStyle w:val="TextBody"/>
        <w:bidi w:val="0"/>
        <w:spacing w:before="0" w:after="240"/>
        <w:jc w:val="center"/>
        <w:rPr/>
      </w:pPr>
      <w:r>
        <w:rPr/>
        <w:drawing>
          <wp:inline distT="0" distB="0" distL="0" distR="0">
            <wp:extent cx="5943600" cy="2105025"/>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3"/>
                    <a:stretch>
                      <a:fillRect/>
                    </a:stretch>
                  </pic:blipFill>
                  <pic:spPr bwMode="auto">
                    <a:xfrm>
                      <a:off x="0" y="0"/>
                      <a:ext cx="5943600" cy="2105025"/>
                    </a:xfrm>
                    <a:prstGeom prst="rect">
                      <a:avLst/>
                    </a:prstGeom>
                  </pic:spPr>
                </pic:pic>
              </a:graphicData>
            </a:graphic>
          </wp:inline>
        </w:drawing>
      </w:r>
      <w:bookmarkStart w:id="11" w:name="i-12"/>
      <w:bookmarkEnd w:id="11"/>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BIM-IOL System demonstrated a substantial reduction in the need for adjunctive topical therapy. At baseline, 30% to 37% of patients were not taking topical IOP-lowering medications, but would benefit from pressure reduction. At three months, 98% (49 of 50) of patients in the 78 mcg dose group and 96% (22 of 23) of patients in the 39 mcg dose group were off all topical IOP-lowering medicines. Patients in the control group were on a twice-daily drop of timolol, as prescribed by the protocol, with no additional topical IOP-lowering medications prescribed.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BCDVA as measured by number of ETDRS letters also improved as expected. ETDRS, or the early treatment of diabetic retinopathy study, is a standard visual acuity chart used to measure vision characterized by rows of five equally sized letters. As shown in the figure below, the 78 mcg, 39 mcg, and control groups all demonstrated similar improvement, with measures ranging from 76 to 78 letters (approximately equivalent to 20/30 vision) at baseline and improving to 85 to 86 letters (approximately equivalent to 20/20 vision) at three months. At three months, 100% of patients had improved to a BCDVA of 20/40 or better. The consistency of the visual acuity results across the treatment groups underscore the potential of the BIM-IOL System to deliver IOP-lowering without compromising visual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0335"/>
                <wp:effectExtent l="0" t="0" r="0" b="0"/>
                <wp:wrapNone/>
                <wp:docPr id="33" name="Frame2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pPr>
      <w:r>
        <w:rPr>
          <w:rFonts w:ascii="Trade Gothic;sans-serif" w:hAnsi="Trade Gothic;sans-serif"/>
          <w:b/>
          <w:color w:val="000000"/>
          <w:sz w:val="19"/>
        </w:rPr>
        <w:t>Improvement in Mean BCDVA at Three Months</w:t>
      </w:r>
      <w:r>
        <w:rPr/>
        <w:drawing>
          <wp:inline distT="0" distB="0" distL="0" distR="0">
            <wp:extent cx="6286500" cy="238125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6286500" cy="2381250"/>
                    </a:xfrm>
                    <a:prstGeom prst="rect">
                      <a:avLst/>
                    </a:prstGeom>
                  </pic:spPr>
                </pic:pic>
              </a:graphicData>
            </a:graphic>
          </wp:inline>
        </w:drawing>
      </w:r>
      <w:bookmarkStart w:id="12" w:name="i-13"/>
      <w:bookmarkEnd w:id="12"/>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Phase 1/2 trial, the overall safety results of the BIM-IOL System at three months were comparable to the control group. Only one patient receiving the BIM-IOL System reported allergic conjunctivitis (1/50, 2.0%) and there were no other reports of conjunctival hyperemia. Similar AE rates were observed in the 78 mcg (35.3%), 39 mcg (39.1%) and the control (33.3%) groups. There was one instance of dry eye reported in the 39 mcg dose group that was rated as severe and determined to be unrelated to the investigational product. The AE was resolved without sequelae following a regimen of over-the-counter ocular lubricants. The figure below depicts the most common AEs (defined as 3% or greater incidence in any group) reported in the Phase 1/2 trial through three months (cumulative).</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Most Common AEs in the Study Eye (≥ 3% in Any Group) in Each Group Through Three Months</w:t>
      </w:r>
    </w:p>
    <w:tbl>
      <w:tblPr>
        <w:tblW w:w="5938" w:type="dxa"/>
        <w:jc w:val="center"/>
        <w:tblInd w:w="0" w:type="dxa"/>
        <w:tblLayout w:type="fixed"/>
        <w:tblCellMar>
          <w:top w:w="28" w:type="dxa"/>
          <w:left w:w="28" w:type="dxa"/>
          <w:bottom w:w="28" w:type="dxa"/>
          <w:right w:w="28" w:type="dxa"/>
        </w:tblCellMar>
      </w:tblPr>
      <w:tblGrid>
        <w:gridCol w:w="1358"/>
        <w:gridCol w:w="1193"/>
        <w:gridCol w:w="1198"/>
        <w:gridCol w:w="254"/>
        <w:gridCol w:w="254"/>
        <w:gridCol w:w="256"/>
        <w:gridCol w:w="224"/>
        <w:gridCol w:w="224"/>
        <w:gridCol w:w="226"/>
        <w:gridCol w:w="220"/>
        <w:gridCol w:w="220"/>
        <w:gridCol w:w="311"/>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213A66"/>
              <w:left w:val="single" w:sz="8" w:space="0" w:color="213A66"/>
            </w:tcBorders>
            <w:shd w:fill="0D2D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Adverse Event</w:t>
            </w:r>
          </w:p>
        </w:tc>
        <w:tc>
          <w:tcPr>
            <w:tcW w:w="764" w:type="dxa"/>
            <w:gridSpan w:val="3"/>
            <w:tcBorders>
              <w:top w:val="single" w:sz="8" w:space="0" w:color="213A66"/>
              <w:left w:val="single" w:sz="8" w:space="0" w:color="C6CDD9"/>
            </w:tcBorders>
            <w:shd w:fill="0D2D5E" w:val="clear"/>
            <w:tcMar>
              <w:top w:w="30" w:type="dxa"/>
              <w:bottom w:w="0" w:type="dxa"/>
              <w:right w:w="0" w:type="dxa"/>
            </w:tcMar>
            <w:vAlign w:val="center"/>
          </w:tcPr>
          <w:p>
            <w:pPr>
              <w:pStyle w:val="TableContents"/>
              <w:bidi w:val="0"/>
              <w:spacing w:lineRule="auto" w:line="240" w:before="0" w:after="60"/>
              <w:jc w:val="center"/>
              <w:rPr>
                <w:rFonts w:ascii="Times New Roman;serif" w:hAnsi="Times New Roman;serif"/>
                <w:b/>
                <w:color w:val="FFFFFF"/>
                <w:sz w:val="18"/>
              </w:rPr>
            </w:pPr>
            <w:r>
              <w:rPr>
                <w:rFonts w:ascii="Times New Roman;serif" w:hAnsi="Times New Roman;serif"/>
                <w:b/>
                <w:color w:val="FFFFFF"/>
                <w:sz w:val="18"/>
              </w:rPr>
              <w:t>78 mcg</w:t>
            </w:r>
          </w:p>
          <w:p>
            <w:pPr>
              <w:pStyle w:val="TableContents"/>
              <w:bidi w:val="0"/>
              <w:spacing w:lineRule="auto" w:line="240" w:before="0" w:after="60"/>
              <w:jc w:val="center"/>
              <w:rPr>
                <w:rFonts w:ascii="Times New Roman;serif" w:hAnsi="Times New Roman;serif"/>
                <w:b/>
                <w:color w:val="FFFFFF"/>
                <w:sz w:val="18"/>
              </w:rPr>
            </w:pPr>
            <w:r>
              <w:rPr>
                <w:rFonts w:ascii="Times New Roman;serif" w:hAnsi="Times New Roman;serif"/>
                <w:b/>
                <w:color w:val="FFFFFF"/>
                <w:sz w:val="18"/>
              </w:rPr>
              <w:t>n = 51</w:t>
            </w:r>
          </w:p>
        </w:tc>
        <w:tc>
          <w:tcPr>
            <w:tcW w:w="674" w:type="dxa"/>
            <w:gridSpan w:val="3"/>
            <w:tcBorders>
              <w:top w:val="single" w:sz="8" w:space="0" w:color="213A66"/>
              <w:left w:val="single" w:sz="8" w:space="0" w:color="C6CDD9"/>
            </w:tcBorders>
            <w:shd w:fill="0D2D5E" w:val="clear"/>
            <w:tcMar>
              <w:top w:w="30" w:type="dxa"/>
              <w:bottom w:w="0" w:type="dxa"/>
              <w:right w:w="0" w:type="dxa"/>
            </w:tcMar>
            <w:vAlign w:val="center"/>
          </w:tcPr>
          <w:p>
            <w:pPr>
              <w:pStyle w:val="TableContents"/>
              <w:bidi w:val="0"/>
              <w:spacing w:lineRule="auto" w:line="240" w:before="0" w:after="60"/>
              <w:jc w:val="center"/>
              <w:rPr>
                <w:rFonts w:ascii="Times New Roman;serif" w:hAnsi="Times New Roman;serif"/>
                <w:b/>
                <w:color w:val="FFFFFF"/>
                <w:sz w:val="18"/>
              </w:rPr>
            </w:pPr>
            <w:r>
              <w:rPr>
                <w:rFonts w:ascii="Times New Roman;serif" w:hAnsi="Times New Roman;serif"/>
                <w:b/>
                <w:color w:val="FFFFFF"/>
                <w:sz w:val="18"/>
              </w:rPr>
              <w:t>39 mcg</w:t>
            </w:r>
          </w:p>
          <w:p>
            <w:pPr>
              <w:pStyle w:val="TableContents"/>
              <w:bidi w:val="0"/>
              <w:spacing w:lineRule="auto" w:line="240" w:before="0" w:after="60"/>
              <w:jc w:val="center"/>
              <w:rPr>
                <w:rFonts w:ascii="Times New Roman;serif" w:hAnsi="Times New Roman;serif"/>
                <w:b/>
                <w:color w:val="FFFFFF"/>
                <w:sz w:val="18"/>
              </w:rPr>
            </w:pPr>
            <w:r>
              <w:rPr>
                <w:rFonts w:ascii="Times New Roman;serif" w:hAnsi="Times New Roman;serif"/>
                <w:b/>
                <w:color w:val="FFFFFF"/>
                <w:sz w:val="18"/>
              </w:rPr>
              <w:t>n = 23</w:t>
            </w:r>
          </w:p>
        </w:tc>
        <w:tc>
          <w:tcPr>
            <w:tcW w:w="751" w:type="dxa"/>
            <w:gridSpan w:val="3"/>
            <w:tcBorders>
              <w:top w:val="single" w:sz="8" w:space="0" w:color="213A66"/>
              <w:left w:val="single" w:sz="8" w:space="0" w:color="C6CDD9"/>
              <w:right w:val="single" w:sz="8" w:space="0" w:color="213A66"/>
            </w:tcBorders>
            <w:shd w:fill="0D2D5E" w:val="clear"/>
            <w:tcMar>
              <w:top w:w="30" w:type="dxa"/>
              <w:bottom w:w="0" w:type="dxa"/>
            </w:tcMar>
            <w:vAlign w:val="center"/>
          </w:tcPr>
          <w:p>
            <w:pPr>
              <w:pStyle w:val="TableContents"/>
              <w:bidi w:val="0"/>
              <w:spacing w:lineRule="auto" w:line="240" w:before="0" w:after="60"/>
              <w:jc w:val="center"/>
              <w:rPr>
                <w:rFonts w:ascii="Times New Roman;serif" w:hAnsi="Times New Roman;serif"/>
                <w:b/>
                <w:color w:val="FFFFFF"/>
                <w:sz w:val="18"/>
              </w:rPr>
            </w:pPr>
            <w:r>
              <w:rPr>
                <w:rFonts w:ascii="Times New Roman;serif" w:hAnsi="Times New Roman;serif"/>
                <w:b/>
                <w:color w:val="FFFFFF"/>
                <w:sz w:val="18"/>
              </w:rPr>
              <w:t>Control</w:t>
            </w:r>
          </w:p>
          <w:p>
            <w:pPr>
              <w:pStyle w:val="TableContents"/>
              <w:bidi w:val="0"/>
              <w:spacing w:lineRule="auto" w:line="240" w:before="0" w:after="60"/>
              <w:jc w:val="center"/>
              <w:rPr>
                <w:rFonts w:ascii="Times New Roman;serif" w:hAnsi="Times New Roman;serif"/>
                <w:b/>
                <w:color w:val="FFFFFF"/>
                <w:sz w:val="18"/>
              </w:rPr>
            </w:pPr>
            <w:r>
              <w:rPr>
                <w:rFonts w:ascii="Times New Roman;serif" w:hAnsi="Times New Roman;serif"/>
                <w:b/>
                <w:color w:val="FFFFFF"/>
                <w:sz w:val="18"/>
              </w:rPr>
              <w:t>n = 30</w:t>
            </w:r>
          </w:p>
        </w:tc>
      </w:tr>
      <w:tr>
        <w:trPr/>
        <w:tc>
          <w:tcPr>
            <w:tcW w:w="3749" w:type="dxa"/>
            <w:gridSpan w:val="3"/>
            <w:tcBorders>
              <w:top w:val="single" w:sz="8" w:space="0" w:color="213A66"/>
              <w:left w:val="single" w:sz="8" w:space="0" w:color="213A66"/>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 (%)</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 (%)</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 (%)</w:t>
            </w:r>
          </w:p>
        </w:tc>
      </w:tr>
      <w:tr>
        <w:trPr/>
        <w:tc>
          <w:tcPr>
            <w:tcW w:w="3749" w:type="dxa"/>
            <w:gridSpan w:val="3"/>
            <w:tcBorders>
              <w:top w:val="single" w:sz="8" w:space="0" w:color="213A66"/>
              <w:left w:val="single" w:sz="8" w:space="0" w:color="213A6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Eye disorders</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17 (33.3)</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 (34.8)</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 (30.0)</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Iritis</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 (7.8)</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(4.3)</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Corneal edema</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 (5.9)</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 (8.7)</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Keratitis</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(2.0)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Eye pruritus</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Eye inflammation</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 (5.9)</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Visual impairment (i.e., halos)</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 (3.9)</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Dry eye</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 (17.4)</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Visual acuity reduced (BCDVA loss ≥ 10 letters)</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 (3.9)</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 (8.7)</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 (6.7)</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Corneal defect</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(4.3)</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Meibomian gland dysfunction</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 (7.8)</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 (6.7)</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Anterior capsule contraction</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(4.3)</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Vitreous detachment</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(2.0)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Pterygium</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Swelling of eyelid</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General disorders and conditions</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(3.3)</w:t>
            </w:r>
          </w:p>
        </w:tc>
      </w:tr>
      <w:tr>
        <w:trPr/>
        <w:tc>
          <w:tcPr>
            <w:tcW w:w="3749" w:type="dxa"/>
            <w:gridSpan w:val="3"/>
            <w:tcBorders>
              <w:top w:val="single" w:sz="8" w:space="0" w:color="213A66"/>
              <w:left w:val="single" w:sz="8" w:space="0" w:color="213A66"/>
            </w:tcBorders>
            <w:tcMar>
              <w:top w:w="30" w:type="dxa"/>
              <w:left w:w="22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Impaired Healing</w:t>
            </w:r>
          </w:p>
        </w:tc>
        <w:tc>
          <w:tcPr>
            <w:tcW w:w="76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674" w:type="dxa"/>
            <w:gridSpan w:val="3"/>
            <w:tcBorders>
              <w:top w:val="single" w:sz="8" w:space="0" w:color="213A66"/>
              <w:left w:val="single" w:sz="8" w:space="0" w:color="70707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w:t>
            </w:r>
          </w:p>
        </w:tc>
        <w:tc>
          <w:tcPr>
            <w:tcW w:w="751" w:type="dxa"/>
            <w:gridSpan w:val="3"/>
            <w:tcBorders>
              <w:top w:val="single" w:sz="8" w:space="0" w:color="213A66"/>
              <w:left w:val="single" w:sz="8" w:space="0" w:color="707070"/>
              <w:right w:val="single" w:sz="8" w:space="0" w:color="213A66"/>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 (3.3)</w:t>
            </w:r>
          </w:p>
        </w:tc>
      </w:tr>
      <w:tr>
        <w:trPr/>
        <w:tc>
          <w:tcPr>
            <w:tcW w:w="3749" w:type="dxa"/>
            <w:gridSpan w:val="3"/>
            <w:tcBorders>
              <w:top w:val="single" w:sz="8" w:space="0" w:color="213A66"/>
              <w:left w:val="single" w:sz="8" w:space="0" w:color="213A66"/>
              <w:bottom w:val="single" w:sz="8" w:space="0" w:color="213A66"/>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Infections</w:t>
            </w:r>
          </w:p>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(i.e., conjunctivitis, periorbital cellulitis, hordeolum)</w:t>
            </w:r>
          </w:p>
        </w:tc>
        <w:tc>
          <w:tcPr>
            <w:tcW w:w="764" w:type="dxa"/>
            <w:gridSpan w:val="3"/>
            <w:tcBorders>
              <w:top w:val="single" w:sz="8" w:space="0" w:color="213A66"/>
              <w:left w:val="single" w:sz="8" w:space="0" w:color="707070"/>
              <w:bottom w:val="single" w:sz="8" w:space="0" w:color="213A66"/>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 (3.9)</w:t>
            </w:r>
          </w:p>
        </w:tc>
        <w:tc>
          <w:tcPr>
            <w:tcW w:w="674" w:type="dxa"/>
            <w:gridSpan w:val="3"/>
            <w:tcBorders>
              <w:top w:val="single" w:sz="8" w:space="0" w:color="213A66"/>
              <w:left w:val="single" w:sz="8" w:space="0" w:color="707070"/>
              <w:bottom w:val="single" w:sz="8" w:space="0" w:color="213A66"/>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(4.3)</w:t>
            </w:r>
          </w:p>
        </w:tc>
        <w:tc>
          <w:tcPr>
            <w:tcW w:w="751" w:type="dxa"/>
            <w:gridSpan w:val="3"/>
            <w:tcBorders>
              <w:top w:val="single" w:sz="8" w:space="0" w:color="213A66"/>
              <w:left w:val="single" w:sz="8" w:space="0" w:color="707070"/>
              <w:bottom w:val="single" w:sz="8" w:space="0" w:color="213A66"/>
              <w:right w:val="single" w:sz="8" w:space="0" w:color="213A66"/>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0335"/>
                <wp:effectExtent l="0" t="0" r="0" b="0"/>
                <wp:wrapNone/>
                <wp:docPr id="35" name="Frame2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a table of the cumulative ocular AEs, categorized by mild, moderate or severe is below. Notably, only 37 out of 104 (36%) patients across all treatment groups reported any ocular AEs, of which 36 were mild or moderate. None were SAEs.</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Severity of Cumulative Ocular AEs at Three Months</w:t>
      </w:r>
    </w:p>
    <w:tbl>
      <w:tblPr>
        <w:tblW w:w="3568" w:type="dxa"/>
        <w:jc w:val="left"/>
        <w:tblInd w:w="0" w:type="dxa"/>
        <w:tblLayout w:type="fixed"/>
        <w:tblCellMar>
          <w:top w:w="28" w:type="dxa"/>
          <w:left w:w="28" w:type="dxa"/>
          <w:bottom w:w="28" w:type="dxa"/>
          <w:right w:w="28" w:type="dxa"/>
        </w:tblCellMar>
      </w:tblPr>
      <w:tblGrid>
        <w:gridCol w:w="402"/>
        <w:gridCol w:w="353"/>
        <w:gridCol w:w="356"/>
        <w:gridCol w:w="279"/>
        <w:gridCol w:w="279"/>
        <w:gridCol w:w="281"/>
        <w:gridCol w:w="244"/>
        <w:gridCol w:w="244"/>
        <w:gridCol w:w="246"/>
        <w:gridCol w:w="258"/>
        <w:gridCol w:w="258"/>
        <w:gridCol w:w="368"/>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384F75"/>
              <w:left w:val="single" w:sz="8" w:space="0" w:color="384F75"/>
            </w:tcBorders>
            <w:shd w:fill="0D2D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Severity</w:t>
            </w:r>
          </w:p>
        </w:tc>
        <w:tc>
          <w:tcPr>
            <w:tcW w:w="839" w:type="dxa"/>
            <w:gridSpan w:val="3"/>
            <w:tcBorders>
              <w:top w:val="single" w:sz="8" w:space="0" w:color="384F75"/>
              <w:left w:val="single" w:sz="8" w:space="0" w:color="213A66"/>
            </w:tcBorders>
            <w:shd w:fill="0D2D5E" w:val="clear"/>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color w:val="FFFFFF"/>
                <w:sz w:val="20"/>
              </w:rPr>
            </w:pPr>
            <w:r>
              <w:rPr>
                <w:rFonts w:ascii="Times New Roman;serif" w:hAnsi="Times New Roman;serif"/>
                <w:b/>
                <w:color w:val="FFFFFF"/>
                <w:sz w:val="20"/>
              </w:rPr>
              <w:t>78 mcg</w:t>
            </w:r>
          </w:p>
          <w:p>
            <w:pPr>
              <w:pStyle w:val="TableContents"/>
              <w:bidi w:val="0"/>
              <w:spacing w:lineRule="auto" w:line="240" w:before="0" w:after="40"/>
              <w:jc w:val="center"/>
              <w:rPr>
                <w:rFonts w:ascii="Times New Roman;serif" w:hAnsi="Times New Roman;serif"/>
                <w:b/>
                <w:color w:val="FFFFFF"/>
                <w:sz w:val="20"/>
              </w:rPr>
            </w:pPr>
            <w:r>
              <w:rPr>
                <w:rFonts w:ascii="Times New Roman;serif" w:hAnsi="Times New Roman;serif"/>
                <w:b/>
                <w:color w:val="FFFFFF"/>
                <w:sz w:val="20"/>
              </w:rPr>
              <w:t>N = 51</w:t>
            </w:r>
          </w:p>
        </w:tc>
        <w:tc>
          <w:tcPr>
            <w:tcW w:w="734" w:type="dxa"/>
            <w:gridSpan w:val="3"/>
            <w:tcBorders>
              <w:top w:val="single" w:sz="8" w:space="0" w:color="384F75"/>
              <w:left w:val="single" w:sz="8" w:space="0" w:color="213A66"/>
            </w:tcBorders>
            <w:shd w:fill="0D2D5E" w:val="clear"/>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color w:val="FFFFFF"/>
                <w:sz w:val="20"/>
              </w:rPr>
            </w:pPr>
            <w:r>
              <w:rPr>
                <w:rFonts w:ascii="Times New Roman;serif" w:hAnsi="Times New Roman;serif"/>
                <w:b/>
                <w:color w:val="FFFFFF"/>
                <w:sz w:val="20"/>
              </w:rPr>
              <w:t>39 mcg</w:t>
            </w:r>
          </w:p>
          <w:p>
            <w:pPr>
              <w:pStyle w:val="TableContents"/>
              <w:bidi w:val="0"/>
              <w:spacing w:lineRule="auto" w:line="240" w:before="0" w:after="40"/>
              <w:jc w:val="center"/>
              <w:rPr>
                <w:rFonts w:ascii="Times New Roman;serif" w:hAnsi="Times New Roman;serif"/>
                <w:b/>
                <w:color w:val="FFFFFF"/>
                <w:sz w:val="20"/>
              </w:rPr>
            </w:pPr>
            <w:r>
              <w:rPr>
                <w:rFonts w:ascii="Times New Roman;serif" w:hAnsi="Times New Roman;serif"/>
                <w:b/>
                <w:color w:val="FFFFFF"/>
                <w:sz w:val="20"/>
              </w:rPr>
              <w:t>N = 23</w:t>
            </w:r>
          </w:p>
        </w:tc>
        <w:tc>
          <w:tcPr>
            <w:tcW w:w="884" w:type="dxa"/>
            <w:gridSpan w:val="3"/>
            <w:tcBorders>
              <w:top w:val="single" w:sz="8" w:space="0" w:color="384F75"/>
              <w:left w:val="single" w:sz="8" w:space="0" w:color="213A66"/>
              <w:right w:val="single" w:sz="8" w:space="0" w:color="384F75"/>
            </w:tcBorders>
            <w:shd w:fill="0D2D5E" w:val="clear"/>
            <w:tcMar>
              <w:top w:w="30" w:type="dxa"/>
              <w:bottom w:w="0" w:type="dxa"/>
            </w:tcMar>
            <w:vAlign w:val="center"/>
          </w:tcPr>
          <w:p>
            <w:pPr>
              <w:pStyle w:val="TableContents"/>
              <w:bidi w:val="0"/>
              <w:spacing w:lineRule="auto" w:line="240" w:before="0" w:after="40"/>
              <w:jc w:val="center"/>
              <w:rPr>
                <w:rFonts w:ascii="Times New Roman;serif" w:hAnsi="Times New Roman;serif"/>
                <w:b/>
                <w:color w:val="FFFFFF"/>
                <w:sz w:val="20"/>
              </w:rPr>
            </w:pPr>
            <w:r>
              <w:rPr>
                <w:rFonts w:ascii="Times New Roman;serif" w:hAnsi="Times New Roman;serif"/>
                <w:b/>
                <w:color w:val="FFFFFF"/>
                <w:sz w:val="20"/>
              </w:rPr>
              <w:t>Control</w:t>
            </w:r>
          </w:p>
          <w:p>
            <w:pPr>
              <w:pStyle w:val="TableContents"/>
              <w:bidi w:val="0"/>
              <w:spacing w:lineRule="auto" w:line="240" w:before="0" w:after="40"/>
              <w:jc w:val="center"/>
              <w:rPr>
                <w:rFonts w:ascii="Times New Roman;serif" w:hAnsi="Times New Roman;serif"/>
                <w:b/>
                <w:color w:val="FFFFFF"/>
                <w:sz w:val="20"/>
              </w:rPr>
            </w:pPr>
            <w:r>
              <w:rPr>
                <w:rFonts w:ascii="Times New Roman;serif" w:hAnsi="Times New Roman;serif"/>
                <w:b/>
                <w:color w:val="FFFFFF"/>
                <w:sz w:val="20"/>
              </w:rPr>
              <w:t>N = 30</w:t>
            </w:r>
          </w:p>
        </w:tc>
      </w:tr>
      <w:tr>
        <w:trPr/>
        <w:tc>
          <w:tcPr>
            <w:tcW w:w="1111" w:type="dxa"/>
            <w:gridSpan w:val="3"/>
            <w:tcBorders>
              <w:top w:val="single" w:sz="8" w:space="0" w:color="384F75"/>
              <w:left w:val="single" w:sz="8" w:space="0" w:color="384F7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384F75"/>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w:t>
            </w:r>
          </w:p>
        </w:tc>
        <w:tc>
          <w:tcPr>
            <w:tcW w:w="734" w:type="dxa"/>
            <w:gridSpan w:val="3"/>
            <w:tcBorders>
              <w:top w:val="single" w:sz="8" w:space="0" w:color="384F75"/>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w:t>
            </w:r>
          </w:p>
        </w:tc>
        <w:tc>
          <w:tcPr>
            <w:tcW w:w="884" w:type="dxa"/>
            <w:gridSpan w:val="3"/>
            <w:tcBorders>
              <w:top w:val="single" w:sz="8" w:space="0" w:color="384F75"/>
              <w:right w:val="single" w:sz="8" w:space="0" w:color="384F75"/>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w:t>
            </w:r>
          </w:p>
        </w:tc>
      </w:tr>
      <w:tr>
        <w:trPr/>
        <w:tc>
          <w:tcPr>
            <w:tcW w:w="1111" w:type="dxa"/>
            <w:gridSpan w:val="3"/>
            <w:tcBorders>
              <w:top w:val="single" w:sz="8" w:space="0" w:color="384F75"/>
              <w:left w:val="single" w:sz="8" w:space="0" w:color="384F75"/>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Cumulative</w:t>
            </w:r>
          </w:p>
        </w:tc>
        <w:tc>
          <w:tcPr>
            <w:tcW w:w="839" w:type="dxa"/>
            <w:gridSpan w:val="3"/>
            <w:tcBorders>
              <w:top w:val="single" w:sz="8" w:space="0" w:color="384F75"/>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 (35.3)</w:t>
            </w:r>
          </w:p>
        </w:tc>
        <w:tc>
          <w:tcPr>
            <w:tcW w:w="734" w:type="dxa"/>
            <w:gridSpan w:val="3"/>
            <w:tcBorders>
              <w:top w:val="single" w:sz="8" w:space="0" w:color="384F75"/>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 (39.1)</w:t>
            </w:r>
          </w:p>
        </w:tc>
        <w:tc>
          <w:tcPr>
            <w:tcW w:w="884" w:type="dxa"/>
            <w:gridSpan w:val="3"/>
            <w:tcBorders>
              <w:top w:val="single" w:sz="8" w:space="0" w:color="384F75"/>
              <w:right w:val="single" w:sz="8" w:space="0" w:color="384F75"/>
            </w:tcBorders>
            <w:shd w:fill="D9D9D9"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 (33.3)</w:t>
            </w:r>
          </w:p>
        </w:tc>
      </w:tr>
      <w:tr>
        <w:trPr/>
        <w:tc>
          <w:tcPr>
            <w:tcW w:w="1111" w:type="dxa"/>
            <w:gridSpan w:val="3"/>
            <w:tcBorders>
              <w:top w:val="single" w:sz="8" w:space="0" w:color="384F75"/>
              <w:left w:val="single" w:sz="8" w:space="0" w:color="384F75"/>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Mild</w:t>
            </w:r>
          </w:p>
        </w:tc>
        <w:tc>
          <w:tcPr>
            <w:tcW w:w="839" w:type="dxa"/>
            <w:gridSpan w:val="3"/>
            <w:tcBorders>
              <w:top w:val="single" w:sz="8" w:space="0" w:color="384F75"/>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 (29.4)</w:t>
            </w:r>
          </w:p>
        </w:tc>
        <w:tc>
          <w:tcPr>
            <w:tcW w:w="734" w:type="dxa"/>
            <w:gridSpan w:val="3"/>
            <w:tcBorders>
              <w:top w:val="single" w:sz="8" w:space="0" w:color="384F75"/>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 (34.8)</w:t>
            </w:r>
          </w:p>
        </w:tc>
        <w:tc>
          <w:tcPr>
            <w:tcW w:w="884" w:type="dxa"/>
            <w:gridSpan w:val="3"/>
            <w:tcBorders>
              <w:top w:val="single" w:sz="8" w:space="0" w:color="384F75"/>
              <w:right w:val="single" w:sz="8" w:space="0" w:color="384F75"/>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 (26.7)</w:t>
            </w:r>
          </w:p>
        </w:tc>
      </w:tr>
      <w:tr>
        <w:trPr/>
        <w:tc>
          <w:tcPr>
            <w:tcW w:w="1111" w:type="dxa"/>
            <w:gridSpan w:val="3"/>
            <w:tcBorders>
              <w:top w:val="single" w:sz="8" w:space="0" w:color="384F75"/>
              <w:left w:val="single" w:sz="8" w:space="0" w:color="384F75"/>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Moderate</w:t>
            </w:r>
          </w:p>
        </w:tc>
        <w:tc>
          <w:tcPr>
            <w:tcW w:w="839" w:type="dxa"/>
            <w:gridSpan w:val="3"/>
            <w:tcBorders>
              <w:top w:val="single" w:sz="8" w:space="0" w:color="384F75"/>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( 5.9)</w:t>
            </w:r>
          </w:p>
        </w:tc>
        <w:tc>
          <w:tcPr>
            <w:tcW w:w="734" w:type="dxa"/>
            <w:gridSpan w:val="3"/>
            <w:tcBorders>
              <w:top w:val="single" w:sz="8" w:space="0" w:color="384F75"/>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84" w:type="dxa"/>
            <w:gridSpan w:val="3"/>
            <w:tcBorders>
              <w:top w:val="single" w:sz="8" w:space="0" w:color="384F75"/>
              <w:right w:val="single" w:sz="8" w:space="0" w:color="384F75"/>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( 6.7)</w:t>
            </w:r>
          </w:p>
        </w:tc>
      </w:tr>
      <w:tr>
        <w:trPr/>
        <w:tc>
          <w:tcPr>
            <w:tcW w:w="1111" w:type="dxa"/>
            <w:gridSpan w:val="3"/>
            <w:tcBorders>
              <w:top w:val="single" w:sz="8" w:space="0" w:color="384F75"/>
              <w:left w:val="single" w:sz="8" w:space="0" w:color="384F75"/>
              <w:bottom w:val="single" w:sz="8" w:space="0" w:color="384F75"/>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Severe</w:t>
            </w:r>
          </w:p>
        </w:tc>
        <w:tc>
          <w:tcPr>
            <w:tcW w:w="839" w:type="dxa"/>
            <w:gridSpan w:val="3"/>
            <w:tcBorders>
              <w:top w:val="single" w:sz="8" w:space="0" w:color="384F75"/>
              <w:bottom w:val="single" w:sz="8" w:space="0" w:color="384F75"/>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734" w:type="dxa"/>
            <w:gridSpan w:val="3"/>
            <w:tcBorders>
              <w:top w:val="single" w:sz="8" w:space="0" w:color="384F75"/>
              <w:bottom w:val="single" w:sz="8" w:space="0" w:color="384F75"/>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( 4.3)</w:t>
            </w:r>
          </w:p>
        </w:tc>
        <w:tc>
          <w:tcPr>
            <w:tcW w:w="884" w:type="dxa"/>
            <w:gridSpan w:val="3"/>
            <w:tcBorders>
              <w:top w:val="single" w:sz="8" w:space="0" w:color="384F75"/>
              <w:bottom w:val="single" w:sz="8" w:space="0" w:color="384F75"/>
              <w:right w:val="single" w:sz="8" w:space="0" w:color="384F75"/>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0" w:after="0"/>
        <w:jc w:val="left"/>
        <w:rPr>
          <w:rFonts w:ascii="Trade Gothic;sans-serif" w:hAnsi="Trade Gothic;sans-serif"/>
          <w:b w:val="false"/>
          <w:color w:val="000000"/>
          <w:sz w:val="17"/>
        </w:rPr>
      </w:pPr>
      <w:r>
        <w:rPr>
          <w:rFonts w:ascii="Trade Gothic;sans-serif" w:hAnsi="Trade Gothic;sans-serif"/>
          <w:b w:val="false"/>
          <w:color w:val="000000"/>
          <w:sz w:val="17"/>
        </w:rPr>
        <w:t>________________</w:t>
      </w:r>
    </w:p>
    <w:p>
      <w:pPr>
        <w:pStyle w:val="TextBody"/>
        <w:bidi w:val="0"/>
        <w:spacing w:lineRule="auto" w:line="288" w:before="0" w:after="240"/>
        <w:ind w:left="0" w:right="0" w:hanging="360"/>
        <w:jc w:val="left"/>
        <w:rPr>
          <w:rFonts w:ascii="Trade Gothic;sans-serif" w:hAnsi="Trade Gothic;sans-serif"/>
          <w:b w:val="false"/>
          <w:color w:val="000000"/>
          <w:sz w:val="17"/>
        </w:rPr>
      </w:pPr>
      <w:r>
        <w:rPr>
          <w:rFonts w:ascii="Trade Gothic;sans-serif" w:hAnsi="Trade Gothic;sans-serif"/>
          <w:b w:val="false"/>
          <w:color w:val="000000"/>
          <w:sz w:val="17"/>
        </w:rPr>
        <w:t>*The cumulative adverse event rates are based on the number of subjects with reported AEs. The one moderate AE was reported in a subject that had two reported AEs, hence it is not included in the cumulative rates or percentages.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Endothelial cell density loss was within the expected range for post-cataract surgery glaucoma patients, with patients receiving the BIM-IOL System demonstrating an average loss of 14.9% compared to 12.1% in the control group. Importantly, endothelial cell density levels remained stable between three and six months.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three-month results informed the design of our Phase 3 clinical trials and reinforced our confidence in the potential of our lead product candidate, the BIM-IOL System. Based on these results and the FIH results, we advanced the BIM-IOL System (78 mcg) into our Phase 3 clinical trials in July 2025.</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Topline Interim Trial Results at Twelve Months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In March 2026, we reported positive topline 12-month data from our Phase 1/2 trial. Evaluable patients in the 78-mcg (N=47) and 39-mcg (N=21) dose groups achieved a 34% and 42% reduction in mean IOP from baseline, respectively, compared to a 35% reduction in the control (N=29) group at 8 a.m. Results were similar at the 10 a.m. timepoint.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98% of evaluable patients (48 of 49) in the 78-mcg dose group and 96% of evaluable patients (22 of 23) in the 39-mcg dose group were free from all topical IOP-lowering medications. Evaluable patients who received the BIM-IOL System demonstrated vision improvement with 100% (72 of 72) reaching 20/32 or better BCDVA and mean BCDVA of 86 letters (equivalent to 20/20 vision). AE rates were similar across the 78-mcg (41.2%), 39-mcg (43.5%), and control (36.7%) groups. No serious ocular AEs were observed.</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Phase 3 Clinical Trials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July 2025, we initiated two identical, registrational, Phase 3 clinical trials to evaluate the BIM-IOL System with 78 mcg of bimatoprost, which is designed to consistently deliver three years of bimatoprost. In January 2026, we announced the randomization of the first patients in our Phase 3 trials.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Trial Design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Each prospective, multicenter, randomized, masked, controlled Phase 3 clinical trial evaluates the safety and efficacy of the BIM-IOL System (78 mcg) in patients with OAG or OHT and a concomitant cataract, who are taking up to two IOP-lowering medications. Both trials are designed to demonstrate noninferiority of the BIM-IOL System to a standard of care commercial IOL plus twice-daily administration of timolol eye drops. Each trial is expected to enroll approximately 400 patients across 45 clinical sites. The trials are being conducted at sites in the United States, New Zealand and Asia.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Enrolled patients will be randomized into two groups at a ratio of 1:1 to receive the BIM-IOL System (78 mcg) or a commercially available monofocal IOL with twice-daily administration of timolol maleate 0.5%, as the control group. Enrolled patients who meet the surgical eligibility criteria will receive cataract surgery in one eye (the study eye) after receiving a baseline washout of all IOP-lowering medications.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0335"/>
                <wp:effectExtent l="0" t="0" r="0" b="0"/>
                <wp:wrapNone/>
                <wp:docPr id="36" name="Frame2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Identical Design for each of the two Phase 3 Clinical Trials (SGP-005 and SGP-006)</w:t>
      </w:r>
    </w:p>
    <w:p>
      <w:pPr>
        <w:pStyle w:val="TextBody"/>
        <w:bidi w:val="0"/>
        <w:spacing w:before="0" w:after="240"/>
        <w:jc w:val="center"/>
        <w:rPr/>
      </w:pPr>
      <w:r>
        <w:rPr/>
        <w:drawing>
          <wp:inline distT="0" distB="0" distL="0" distR="0">
            <wp:extent cx="6210300" cy="11049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15"/>
                    <a:stretch>
                      <a:fillRect/>
                    </a:stretch>
                  </pic:blipFill>
                  <pic:spPr bwMode="auto">
                    <a:xfrm>
                      <a:off x="0" y="0"/>
                      <a:ext cx="6210300" cy="1104900"/>
                    </a:xfrm>
                    <a:prstGeom prst="rect">
                      <a:avLst/>
                    </a:prstGeom>
                  </pic:spPr>
                </pic:pic>
              </a:graphicData>
            </a:graphic>
          </wp:inline>
        </w:drawing>
      </w:r>
      <w:bookmarkStart w:id="13" w:name="i-14"/>
      <w:bookmarkEnd w:id="13"/>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Informed by our Phase 1/2 data, we have implemented minor protocol modifications to the inclusion and exclusion criteria. Key changes include tightening the baseline IOP range, enrolling patients on up to two IOP-lowering medications, tailoring washout periods based on drug class pharmacokinetics, and standardizing IOP measurement timing. The changes are intended to improve consistency across trial arms.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primary objective of the Phase 3 program is to evaluate and compare the safety, IOP-lowering efficacy, and BCDVA efficacy of the BIM-IOL System versus control in participants with OAG or OHT undergoing cataract surgery. The co-primary endpoints are (1) the time-matched mean IOP change from baseline at 8 and 10 a.m. at two and six weeks and three months and (2) BCDVA of 20/40 or better at 12 months. Secondary outcome measures will also be evaluated, including mean IOP, time to postoperative introduction of IOP-lowering medications, and number of IOP-lowering medications introduced postoperatively. Participants will be followed through 36 months, allowing us to compare long-term safety, efficacy, and durability.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Phase 3 program is structured to support our regulatory submission, with a goal of submitting a 505(b)(2) NDA to the FDA in 2028. The first patient visit has already been completed, marking a key milestone in our clinical development timeline. We plan to complete Phase 3 enrollment by 2027 and report 12 month data in 2028 and 24 month data in 2029.</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BIM-DRS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to our lead product candidate, we are developing the BIM-DRS. This system leverages the same core technology as our BIM-IOL System in a non-IOL-based, ring-shaped, sustained-release implant. The BIM-DRS is designed to consistently deliver at least three years of bimatoprost and is intended to provide IOP-lowering therapy beyond the initial three-year duration that we are targeting with the BIM-IOL System. This system is designed for anterior segment implantation outside the capsular bag, which we believe will help to preserve visual function. The BIM-DRS is engineered to be removable and replaceable, potentially allowing for continuous care over a patient’s lifetime. We believe this system has the potential to offer a lifetime solution for patients and expand our opportunity to include patients who have already undergone cataract surgery and are no longer candidates for IOL-based interventions.</w:t>
      </w:r>
    </w:p>
    <w:p>
      <w:pPr>
        <w:pStyle w:val="TextBody"/>
        <w:bidi w:val="0"/>
        <w:spacing w:lineRule="auto" w:line="288" w:before="0" w:after="240"/>
        <w:jc w:val="left"/>
        <w:rPr/>
      </w:pPr>
      <w:r>
        <w:rPr>
          <w:rFonts w:ascii="Trade Gothic;sans-serif" w:hAnsi="Trade Gothic;sans-serif"/>
          <w:b w:val="false"/>
          <w:color w:val="000000"/>
          <w:sz w:val="19"/>
        </w:rPr>
        <w:t xml:space="preserve">In </w:t>
      </w:r>
      <w:r>
        <w:rPr>
          <w:rFonts w:ascii="Trade Gothic;sans-serif" w:hAnsi="Trade Gothic;sans-serif"/>
          <w:b w:val="false"/>
          <w:i/>
          <w:color w:val="000000"/>
          <w:sz w:val="19"/>
        </w:rPr>
        <w:t>ex vivo</w:t>
      </w:r>
      <w:r>
        <w:rPr>
          <w:color w:val="000000"/>
        </w:rPr>
        <w:t xml:space="preserve"> </w:t>
      </w:r>
      <w:r>
        <w:rPr>
          <w:rFonts w:ascii="Trade Gothic;sans-serif" w:hAnsi="Trade Gothic;sans-serif"/>
          <w:b w:val="false"/>
          <w:color w:val="000000"/>
          <w:sz w:val="19"/>
        </w:rPr>
        <w:t>studies, we have observed compatibility and positioning of this system in the human eye. Animal studies are currently underway. Building upon the positive preliminary and interim data reported to date from our FIH and Phase 1/2 trials of the BIM-IOL System, subject to the outcomes of these animal studies, we plan to advance BIM-DRS into FIH trials in 2026.</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 xml:space="preserve">Additional Programs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Beyond bimatoprost, we are advancing early-stage programs that target additional highly prevalent chronic eye conditions, including AMD, postoperative eye care, and chronic uveitis. These programs leverage our drug delivery technology and are in preclinical development. Our SPY-004 program is currently exploring proof-of-concept for a small molecule therapy for AMD. Additionally, we have demonstrated in preclinical studies the potential to elute commonly used ophthalmic steroids (such as dexamethasone) and non-steroidal anti-inflammatory drugs for postoperative pain, including post-cataract surgery, and inflammation management, including chronic uveitis. We believe these capabilities position us to potentially serve both chronic disease populations and acute surgical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0335"/>
                <wp:effectExtent l="0" t="0" r="0" b="0"/>
                <wp:wrapNone/>
                <wp:docPr id="38" name="Frame2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including premium cataract procedures. Our discovery pipeline is depicted in the chart below. We retain exclusive worldwide development and commercialization rights to these programs.</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Our Discovery Pipeline</w:t>
      </w:r>
    </w:p>
    <w:p>
      <w:pPr>
        <w:pStyle w:val="TextBody"/>
        <w:bidi w:val="0"/>
        <w:spacing w:before="0" w:after="240"/>
        <w:jc w:val="center"/>
        <w:rPr/>
      </w:pPr>
      <w:r>
        <w:rPr/>
        <w:drawing>
          <wp:inline distT="0" distB="0" distL="0" distR="0">
            <wp:extent cx="6019800" cy="1552575"/>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16"/>
                    <a:stretch>
                      <a:fillRect/>
                    </a:stretch>
                  </pic:blipFill>
                  <pic:spPr bwMode="auto">
                    <a:xfrm>
                      <a:off x="0" y="0"/>
                      <a:ext cx="6019800" cy="1552575"/>
                    </a:xfrm>
                    <a:prstGeom prst="rect">
                      <a:avLst/>
                    </a:prstGeom>
                  </pic:spPr>
                </pic:pic>
              </a:graphicData>
            </a:graphic>
          </wp:inline>
        </w:drawing>
      </w:r>
      <w:bookmarkStart w:id="14" w:name="i-15"/>
      <w:bookmarkEnd w:id="14"/>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our Drug Pad-IOL System is designed to be compatible with most IOL material and optical designs. While we believe, based on management projections and internal estimates, that 90% of glaucoma patients receive standard monofocal (or single focus) IOLs during cataract surgery, we are designing for a range of optics, including toric IOLs. We believe these enhancements will allow us to tailor our system to diverse clinical and commercial settings, further increasing its market potential.</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Commercialization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complete enrollment in 2027 and, pending successful Phase 3 results, we plan to submit a 505(b)(2) NDA to the FDA in 2028. There is no guarantee that our trials will produce positive results or be consistent with past trial results, and FDA approval is not guaranteed and the regulatory process may take longer than anticipated.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our commercial strategy is straightforward and scalable. Patients with glaucoma and cataracts are primarily over the age of 65, making Medicare the primary payor. Because the BIM-IOL System is implanted during cataract surgery, we expect that our product candidate will be covered through Medicare Part B. Importantly, we do not believe that the implantation procedure of our lead product candidate will require a new CPT code. The BIM-IOL System is implanted during routine cataract surgery, potentially allowing providers to leverage existing Category I CPT codes for cataract surgery. This would significantly simplify reimbursement logistics compared to other implantable glaucoma devices, which often require new CPT codes. We believe that utilizing existing codes can help to ensure consistent pricing and increase provider confidence in reimbursement, which can help to drive demand and adoption.</w:t>
      </w:r>
    </w:p>
    <w:p>
      <w:pPr>
        <w:pStyle w:val="TextBody"/>
        <w:bidi w:val="0"/>
        <w:spacing w:lineRule="auto" w:line="288" w:before="0" w:after="240"/>
        <w:jc w:val="left"/>
        <w:rPr/>
      </w:pPr>
      <w:r>
        <w:rPr>
          <w:rFonts w:ascii="Trade Gothic;sans-serif" w:hAnsi="Trade Gothic;sans-serif"/>
          <w:b w:val="false"/>
          <w:color w:val="000000"/>
          <w:sz w:val="19"/>
        </w:rPr>
        <w:t>If we obtain marketing authorization for the BIM-IOL System, we anticipate that providers and facilities, including ASCs, will be able to immediately bill the product under a temporary J-code (J3490 or J3590). In parallel, we expect to apply for a Healthcare Common Procedure Coding System (HCPCS) Permanent J-code, similar to Durysta (J7351) and iDose (J7355), which are currently reimbursed at ASP plus 6%, consistent with other physician-administered drugs. This streamlined and favorable buy-and-bill reimbursement model is familiar to ophthalmic practices and aligns with existing coverage and reimbursement policies. We believe this presents an opportunity for providers and facilities, including ASCs, where approximately 90% of cataract surgeries in the United States are performed</w:t>
      </w:r>
      <w:r>
        <w:rPr>
          <w:rFonts w:ascii="Trade Gothic;sans-serif" w:hAnsi="Trade Gothic;sans-serif"/>
          <w:b w:val="false"/>
          <w:color w:val="000000"/>
          <w:sz w:val="12"/>
        </w:rPr>
        <w:t>18</w:t>
      </w:r>
      <w:r>
        <w:rPr>
          <w:rFonts w:ascii="Trade Gothic;sans-serif" w:hAnsi="Trade Gothic;sans-serif"/>
          <w:b w:val="false"/>
          <w:color w:val="000000"/>
          <w:sz w:val="19"/>
        </w:rPr>
        <w:t>, to recognize incremental revenue from cataract surgeries. Our team has deep experience navigating this reimbursement landscape, particularly in ophthalmology and the medical retina space, to build reimbursement confidence among surgeons, administrators, and payors.</w:t>
      </w:r>
    </w:p>
    <w:p>
      <w:pPr>
        <w:pStyle w:val="TextBody"/>
        <w:bidi w:val="0"/>
        <w:spacing w:lineRule="auto" w:line="288" w:before="0" w:after="240"/>
        <w:jc w:val="left"/>
        <w:rPr/>
      </w:pPr>
      <w:r>
        <w:rPr>
          <w:rFonts w:ascii="Trade Gothic;sans-serif" w:hAnsi="Trade Gothic;sans-serif"/>
          <w:b w:val="false"/>
          <w:color w:val="000000"/>
          <w:sz w:val="19"/>
        </w:rPr>
        <w:t>We estimate that a limited number of cataract surgeons and ASCs perform the majority of cataract surgery procedures in the United States each year, with the top 5% of surgeons performing over 25% of the procedures</w:t>
      </w:r>
      <w:r>
        <w:rPr>
          <w:rFonts w:ascii="Trade Gothic;sans-serif" w:hAnsi="Trade Gothic;sans-serif"/>
          <w:b w:val="false"/>
          <w:color w:val="000000"/>
          <w:sz w:val="12"/>
        </w:rPr>
        <w:t>19</w:t>
      </w:r>
      <w:r>
        <w:rPr>
          <w:rFonts w:ascii="Trade Gothic;sans-serif" w:hAnsi="Trade Gothic;sans-serif"/>
          <w:b w:val="false"/>
          <w:color w:val="000000"/>
          <w:sz w:val="19"/>
        </w:rPr>
        <w:t>. We believe this concentrated market will enable us to build an efficient field-based sales force that can quickly unlock a significant portion of the market opportunity.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Taken together, our commercial go-to-market strategy is designed to minimize friction and accelerate adoption in a well-understood and high-volume surgical setting with a right-sized field force footprint.</w:t>
      </w:r>
    </w:p>
    <w:p>
      <w:pPr>
        <w:pStyle w:val="TextBody"/>
        <w:bidi w:val="0"/>
        <w:spacing w:lineRule="auto" w:line="288" w:before="0" w:after="160"/>
        <w:jc w:val="left"/>
        <w:rPr/>
      </w:pPr>
      <w:r>
        <w:rPr>
          <w:rFonts w:ascii="Trade Gothic;sans-serif" w:hAnsi="Trade Gothic;sans-serif"/>
          <w:b w:val="false"/>
          <w:color w:val="000000"/>
          <w:sz w:val="11"/>
        </w:rPr>
        <w:t>18</w:t>
      </w:r>
      <w:r>
        <w:rPr>
          <w:color w:val="000000"/>
        </w:rPr>
        <w:t>    </w:t>
      </w:r>
      <w:r>
        <w:rPr>
          <w:rFonts w:ascii="Trade Gothic;sans-serif" w:hAnsi="Trade Gothic;sans-serif"/>
          <w:b w:val="false"/>
          <w:color w:val="000000"/>
          <w:sz w:val="17"/>
        </w:rPr>
        <w:t>MarketScope Ophthalmic Market Trends Q2-2025 US Cataract Edition.</w:t>
      </w:r>
    </w:p>
    <w:p>
      <w:pPr>
        <w:pStyle w:val="TextBody"/>
        <w:bidi w:val="0"/>
        <w:spacing w:lineRule="auto" w:line="288" w:before="0" w:after="0"/>
        <w:ind w:left="0" w:right="0" w:hanging="360"/>
        <w:jc w:val="left"/>
        <w:rPr/>
      </w:pPr>
      <w:r>
        <w:rPr>
          <w:rFonts w:ascii="Trade Gothic;sans-serif" w:hAnsi="Trade Gothic;sans-serif"/>
          <w:b w:val="false"/>
          <w:color w:val="000000"/>
          <w:sz w:val="11"/>
        </w:rPr>
        <w:t>19</w:t>
      </w:r>
      <w:r>
        <w:rPr>
          <w:color w:val="000000"/>
        </w:rPr>
        <w:t>    </w:t>
      </w:r>
      <w:r>
        <w:rPr>
          <w:rFonts w:ascii="Trade Gothic;sans-serif" w:hAnsi="Trade Gothic;sans-serif"/>
          <w:b w:val="false"/>
          <w:color w:val="000000"/>
          <w:sz w:val="17"/>
        </w:rPr>
        <w:t>Schein OD, Cassard SD, Tielsch JM, Gower EW. Cataract surgery among Medicare beneficiaries. Ophthalmic Epidemiol. 2012 Oct;19(5):257-64 showing that the top 2,801 surgeons (less than 25%) performed 65.1% of the cataract surgeries in the United States billed through Medicare in 2003 to 2004.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0335"/>
                <wp:effectExtent l="0" t="0" r="0" b="0"/>
                <wp:wrapNone/>
                <wp:docPr id="40" name="Frame2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Manufacturing and Supply Chain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use contract manufacturing organizations (CMOs) to manufacture and supply the components of our drug delivery system, including the drug pads, IOL and injector system. All our CMOs, including analytical and distribution chain partners, maintain procedures for complying with current Good Manufacturing Practices (cGMP) requirements and have the capability and capacity to produce at both clinical-stage and commercial-stage scale.</w:t>
      </w:r>
    </w:p>
    <w:p>
      <w:pPr>
        <w:pStyle w:val="TextBody"/>
        <w:bidi w:val="0"/>
        <w:spacing w:lineRule="auto" w:line="288" w:before="0" w:after="240"/>
        <w:jc w:val="left"/>
        <w:rPr/>
      </w:pPr>
      <w:r>
        <w:rPr>
          <w:rFonts w:ascii="Trade Gothic;sans-serif" w:hAnsi="Trade Gothic;sans-serif"/>
          <w:b/>
          <w:i/>
          <w:color w:val="000000"/>
          <w:sz w:val="19"/>
        </w:rPr>
        <w:t>Drug Pads.</w:t>
      </w:r>
      <w:r>
        <w:rPr>
          <w:color w:val="000000"/>
        </w:rPr>
        <w:t xml:space="preserve"> </w:t>
      </w:r>
      <w:r>
        <w:rPr>
          <w:rFonts w:ascii="Trade Gothic;sans-serif" w:hAnsi="Trade Gothic;sans-serif"/>
          <w:b w:val="false"/>
          <w:color w:val="000000"/>
          <w:sz w:val="19"/>
        </w:rPr>
        <w:t>A CMO sources materials used in our drug pads from outside vendors and formulates the pads in accordance with our proprietary manufacturing process. We have a nonexclusive arrangement with this CMO and can transfer the technology to another site as needed.</w:t>
      </w:r>
    </w:p>
    <w:p>
      <w:pPr>
        <w:pStyle w:val="TextBody"/>
        <w:bidi w:val="0"/>
        <w:spacing w:lineRule="auto" w:line="288" w:before="0" w:after="240"/>
        <w:jc w:val="left"/>
        <w:rPr/>
      </w:pPr>
      <w:r>
        <w:rPr>
          <w:rFonts w:ascii="Trade Gothic;sans-serif" w:hAnsi="Trade Gothic;sans-serif"/>
          <w:b/>
          <w:i/>
          <w:color w:val="000000"/>
          <w:sz w:val="19"/>
        </w:rPr>
        <w:t>IOL.</w:t>
      </w:r>
      <w:r>
        <w:rPr>
          <w:color w:val="000000"/>
        </w:rPr>
        <w:t xml:space="preserve"> </w:t>
      </w:r>
      <w:r>
        <w:rPr>
          <w:rFonts w:ascii="Trade Gothic;sans-serif" w:hAnsi="Trade Gothic;sans-serif"/>
          <w:b w:val="false"/>
          <w:color w:val="000000"/>
          <w:sz w:val="19"/>
        </w:rPr>
        <w:t>Clinical and commercial supply agreements for our proprietary IOL have been secured with our IOL supplier to meet our planned clinical and commercial requirements through our first year of commercialization. Our IOL is manufactured to our specifications by an ISO13485-certified and FDA-registered CMO pursuant to a supply agreement with a two-year notice of termination. Our supply agreement currently excludes the right to conduct clinical trials or commercialize products using these IOLs in the People’s Republic of China, but will expand to include the People’s Republic of China if and when our CMO acquires such rights. We have granted a right of first negotiation to an affiliate of this CMO to become an exclusive distributor of our potential commercial product in Asia, Europe, the Middle East and Africa. This right terminates upon termination of the supply agreement.</w:t>
      </w:r>
    </w:p>
    <w:p>
      <w:pPr>
        <w:pStyle w:val="TextBody"/>
        <w:bidi w:val="0"/>
        <w:spacing w:lineRule="auto" w:line="288" w:before="0" w:after="240"/>
        <w:jc w:val="left"/>
        <w:rPr/>
      </w:pPr>
      <w:r>
        <w:rPr>
          <w:rFonts w:ascii="Trade Gothic;sans-serif" w:hAnsi="Trade Gothic;sans-serif"/>
          <w:b/>
          <w:i/>
          <w:color w:val="000000"/>
          <w:sz w:val="19"/>
        </w:rPr>
        <w:t>Injector.</w:t>
      </w:r>
      <w:r>
        <w:rPr>
          <w:color w:val="000000"/>
        </w:rPr>
        <w:t xml:space="preserve"> </w:t>
      </w:r>
      <w:r>
        <w:rPr>
          <w:rFonts w:ascii="Trade Gothic;sans-serif" w:hAnsi="Trade Gothic;sans-serif"/>
          <w:b w:val="false"/>
          <w:color w:val="000000"/>
          <w:sz w:val="19"/>
        </w:rPr>
        <w:t>Our BIM-IOL System is designed to be compatible with a number of off-the-shelf injectors from various manufacturers. We have a supply agreement with an injector manufacturer to distribute its injector globally for use with the BIM-IOL System. We may seek similar agreements with other injector manufacturers. We have evaluated the performance of our product candidate with these injectors, which have been previously registered with regulatory authorities globally for use with commercial IOLs.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Competition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biotechnology, pharmaceutical, medical technology and ophthalmology industries are characterized by rapidly advancing technologies, intense competition and a strong emphasis on IP. We believe our differentiated technology and approach, systems, robust IP portfolio, focused business strategy, and experienced leadership team position us competitively within this dynamic landscape. However, we face competition from many different sources, including large and specialty pharmaceutical, biotechnology, medical technology and ophthalmology companies, academic research institutions and governmental agencies, and public and private research institutions. Any product candidate we develop and commercialize will have to compete with existing therapies, devices and procedures as well as therapies, devices and procedures currently in development and that may be developed in the future. We believe that the key competitive factors affecting the success of any of our product candidates will include efficacy, safety, speed to market, ease of use and reliability, acceptance by physicians, reimbursement and costs, level of devoted promotional activity and IP protection.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BIM-IOL System, is designed to treat OAG and OHT, placing us in direct competition with a range of therapies, devices, procedures and technologies, including topical eye drops, laser-based interventions, MIGS, and intracameral implants. These modalities are offered by companies with significant market presence and resources. For example, we compete with alternative glaucoma surgical device and ophthalmic laser companies such as Alcon, Allergan (AbbVie), Bausch &amp; Lomb, Glaukos, and Johnson &amp; Johnson, as well as pharmaceutical competitors such as Alcon, Allergan (AbbVie), Astellas, Genentech (Roche) and Regeneron.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Many of our current or potential competitors, either alone or with their collaboration partners, have substantially greater financial resources and may have greater expertise in research and development, manufacturing, preclinical testing, conducting clinical trials and marketing approved products than we do. Mergers and acquisitions in the pharmaceutical, biotechnology and ophthalmology industries may result in even more resources being concentrated among a smaller number of our competitors. Smaller or early-stage companies may also prove to be strong competitors, particularly through collaborative arrangements with large and established companies. These companies also compete with us in recruiting and retaining qualified scientific and management personnel, as well as in acquiring technologies and IP complementary to, or necessary for, our product candidates. Because of the size of the ophthalmology and vision correction markets and the high growth profile of such markets, we anticipate that companies will dedicate substantial resources to developing competing products. We believe the benefits of our approach present a number of benefits,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long-term drug delivery that may improve outcomes;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ultralow dose and potential to improve quality of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0335"/>
                <wp:effectExtent l="0" t="0" r="0" b="0"/>
                <wp:wrapNone/>
                <wp:docPr id="41" name="Frame2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seamless integration into existing surgical workflow;</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confidence with established reimbursement pathways;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patient care with attractive facility economics; and </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scalability and durability.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the sections titled “—Our Solution – The SpyGlass Platform” and “—Our Technology and Approach” for a detailed description of our potential competitive advantages.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that competing treatment options that are successfully developed could eventually be available both within and outside the United States. Our commercial opportunity could be impacted if competitors develop treatments and therapies that are more effective, safer, easier to use, or less costly—or if they achieve regulatory approval ahead of us.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Intellectual Property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Intellectual property, including patents, trade secrets, trademarks and copyrights, is important to our business. Our commercial success depends in part on our ability to obtain and maintain our intellectual property protections for our current products as well as for future product candidates and novel discoveries, product development technologies, and know-how. Our commercial success also depends in part on our ability to operate without infringing on the protected proprietary rights of others and to prevent others from infringing our protected proprietary rights. We seek to maintain our proprietary positions by, among other processes, filing U.S. and foreign patent applications to obtain patents that cover our products, product candidates, technology, inventions, and improvements thereof that are important to the development, protection and implementation of our business. All patents and patent applications in our intellectual property portfolio are co-owned with a single co-Applicant, the Regents of the University of Colorado, a body corporate (CU). We exclusively license the co-Applicant’s rights in these patents and patent applications that are co-owned. We may also license from third parties additional patent rights and proprietary know-how that we believe to be necessary or useful to our business. Additionally, we protect our proprietary know-how that may not be patentable or that is otherwise considered better for our business to maintain as a Company secret, and other confidential information, by maintaining and implementing policies and procedures for ensuring secrecy and confidentiality are maintained.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currently seeking and maintaining patent protection in the United States and key foreign jurisdictions where we intend to market our products, and our future product candidates. Our patent portfolio includes a combination of patents and pending patent applications co-owned by and exclusively licensed to us.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our co-owned and exclusively licensed patent estate contains eight (8) patent families comprising fifteen (15) issued U.S. patents, eleven (11) issued patents in Australia, China, Europe (including national validations in France, Germany, Italy, Spain and the United Kingdom), Japan and the United Kingdom, ten (10) pending U.S. non-provisional patent applications, and thirty-one (31) pending patent applications in various jurisdictions outside of the U.S., including Australia, Canada, Europe, Canada and Japan, and one (1) pending Patent Cooperation Treaty (PCT) application that has not yet entered national stage filing. The fifteen (15) issued U.S. patents are projected to expire between 2039 and 2043, before accounting for potentially available patent term adjustments or patent term extension, as appropriate, and assuming timely payment of appropriate maintenance, renewal, annuity and other governmental fees. Any patent that may issue from the current ten (10) pending U.S. patent applications is expected to expire between 2039 and 2043, without accounting for potentially available patent term adjustments or patent term extension, as appropriate, term-limiting effects of terminal disclaimers and assuming payment of appropriate maintenance, renewal, annuity and other governmental fees. The eleven (11) issued foreign patents are expected to expire between 2039 and 2040, without accounting for potentially available patent term extensions or patent term extension, as appropriate, and assuming payment of appropriate maintenance, renewal, annuity and other governmental fees. The thirty-one (31) pending foreign patent applications are expected to expire between 2039 and 2043, without accounting for potentially available patent term extensions and assuming payment of appropriate maintenance, renewal, annuity and other governmental fees.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co-owned and exclusively licensed U.S. and foreign patents and patent applications generally relate to ophthalmic drug delivery systems, ophthalmic drug delivery components, devices, kits, manufacturing, and methods of use thereof. Our twenty-six (26) co-owned and exclusively licensed U.S. and foreign patents are set forth in the table below, which we believe cover portions of our relevant product and future products in development and technologies, including features and components of implantable intraocular structures and drug delivery products, their manufacturing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0335"/>
                <wp:effectExtent l="0" t="0" r="0" b="0"/>
                <wp:wrapNone/>
                <wp:docPr id="42" name="Frame2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construction, their assembly and systems facilitating their assembly, and medical uses of the products and systems to treat health conditions such as eye-related disorders.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reduced due to filing of a terminal disclaimer made to overcome a double patenting rejection to a related/commonly owned patent, or may be lengthened by patent term adjustment to a patent, which permits patent term restoration in terms of added days to the life of a patent as compensation for delays incurred by the USPTO process during patent prosecution.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Patent positions of companies like ours are generally uncertain and involve complex legal, procedural and factual questions. The relevant patent laws and changes to these laws and their interpretation inside the United States are uncertain.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patents will depend in part on our success in obtaining, maintaining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these products. Moreover, patents do not guarantee the right to practice our technology in relation to the commercialization of our products. Patents only allow us to attempt to prevent potential competitors from patenting our same inventions and/or practicing the claimed inventions of the patents specifically in the countries in which such patents are issued.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patents and other intellectual property rights in the drug delivery and medical device space are evolving and involve many risks and uncertainties. For example, third parties may have blocking patents that could be used to prevent us from patenting and/or commercializing our product candidates and practicing our proprietary technology. Our patents may be challenged, invalidated or circumvented, which could limit our ability to stop competitors from making and/or marketing related products or could limit the term of patent protection that otherwise may exist for our product candidate and future product candidates. In addition, the scope of the rights granted under any patent may not provide us with protection or competitive advantages against competitors with similar technology. Furthermore, our competitors may independently develop similar technologies that are outside the scope of the rights granted under our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to patent protection, we rely on trade secret protection and know-how to expand our proprietary position around our chemistries, manufacturing, technologies and other discoveries and inventions that we consider important to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we have one (1) registered trademark in the United States and one registered trademark in each of Brazil, Canada, China, the European Union, United Kingdom, and South Korea, one (1) accepted trademark in the United States and eight (8) pending trademark applications in the United States and six (6) pending trademark applications filed via the Madrid Protocol.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also seek to protect our intellectual property in part by entering into confidentiality agreements with companies with whom we share proprietary and confidential information in the course of business discussions. We also have confidentiality terms and intellectual property assignment clauses in our agreements with our employees, consultants, scientific advisors, clinical investigators, work-for-hire contracts and other contractors. These agreements provide that all confidential information and potential intellectual property developed, discovered, or made known to the individual or the contractor during the course of the individual’s or contractor’s relationship with us is owned by us and to be disclosed to us and to be kept confidential and not disclosed to third parties except in specific circumstances. There can be no assurance, however, that these agreements will provide meaningful protection or adequate remedies for our trade secrets in the event of unauthorized use or disclosure of such information. We require our employees, commercial contractors, and certain consultants, externally hired contract engineers and investigators, to enter into intellectual property assignment agreements that assign us ownership of any discoveries or inventions made by them while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0335"/>
                <wp:effectExtent l="0" t="0" r="0" b="0"/>
                <wp:wrapNone/>
                <wp:docPr id="43" name="Frame2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employment or working under contract on behalf of us. See the section titled “Risk Factors—Risks Related to Our Intellectual Property” for a more comprehensive description of risks related to our intellectual property.</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Exclusive License Agreement with the Regents of the University of Colorado</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March 2020, we entered into an Exclusive License Agreement with the Regents of the University of Colorado (CU), which was amended in December of 2020, May of 2023 and October of 2025 (the License Agreement), pursuant to which CU granted us an exclusive, worldwide, royalty-bearing, transferable license, with the right to grant sublicenses, under certain patents and patent applications co-owned by CU and us relating to an intraocular drug dispenser (the Licensed Patents) for us to make, have made, use, import, offer to sell, sell, render and practice all products covered by the Licensed Patents (the License and such products the Licensed Products) in all fields. All Licensed Patents are jointly owned by CU and us. CU retains the non-exclusive right for itself and all other not-for-profit academic and research institutions to practice all Licensed Products for educational, research, clinical, or other non-commercial purposes. The U.S. federal government retains a non-exclusive right to practice the Licensed Patents under 35 U.S.C. §§ 200-212 and 37 C.F.R. § 401, and we must use commercially reasonable efforts to cause any Licensed Products to be manufactured substantially in the United States to the extent required by 35 U.S.C. § 204.</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License Agreement, we are obligated to use commercially reasonable efforts to develop, market and sell at least two Licensed Products in all fields worldwide and to meet certain diligence milestones by certain deadlines. If we are, or a third party designee is, unable or unwilling to serve or develop a commercially reasonable potential market or market territory for which there is a reputable company with adequate resources to do and who is willing to be a sublicensee under the License Agreement, upon CU’s request, we are obligated to negotiate in good faith a sublicense with such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consideration of the rights granted by the License Agreement, we issued CU shares of our common stock and agreed to pay CU an annual license fee of up to $50,000. We are also required to pay CU certain contingent milestone payments of up to $1.05 million for each of the first two Licensed Products that achieve certain development and commercialization milestones. We agreed to pay CU royalties in the low single digit percentage of net sales of Licensed Products, subject to customary reductions. These royalties commence on the first commercial sale of such Licensed Product covered by a Valid Claim of a Licensed Patent in a country of such sale and continue until the expiration of the last valid claims under the Licensed Patents covering such Licensed Product in such country. We are also required to pay CU a percentage in the mid-twenties of consideration that we receive for sublicenses of, or options to sublicense, the Licensed Patents. We also agreed to reimburse CU for patent prosecution and maintenance expenses incurred by CU with respect to the Licensed Patents both prior to entering into the License Agreement, as well as any patent prosecution and maintenance expenses incurred by CU after entering into the License Agreement for the Licensed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the first right to prosecute and maintain the Licensed Patents. If in the professional opinion of CU’s patent counsel or due to our negligence or misconduct in prosecuting the Licensed Patents, CU’s interest in the Licensed Patents is materially endangered, then CU may assume control of the prosecution and maintenance of any patent applications or patents included in the Licensed Patents if we fail to cure such negligence or misconduct within a designated time to cure. We have the first right to enforce the Licensed Patents against third party infringers. If we provide written notice to CU of our intention to not continue the prosecution or maintenance of the Licensed Patents or if we do not initiate suits to enforce the Licensed Patents, CU may step in to assume such prosecution, maintenance or enforcement of the Licensed Patents, respectively.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term of the License Agreement will expire upon the last to expire or last to be abandoned Valid Claim of a Licensed Patent, unless the License Agreement is terminated earlier in accordance with the terms therein. We may terminate the License Agreement in its entirety at any time upon prior written notice, and CU may terminate the agreement for our uncured material breach, our patent challenge to the Licensed Patents, insolvency, failure to use commercially reasonable efforts to develop a product covered by the Licensed Patents in the US, UK, France, Germany, Italy, Spain, Japan Canada and Australia, including efforts to meet the development and commercial milestones and obligations in the License Agreement, and cessation of sales of a commercially sold Licensed Product for two consecutive calendar quarters (unless it is commercially reasonable to discontinue such sales). If the License Agreement is terminated early, at CU’s request, we must provide CU with a copy of all data, documents and other materials filed by us or on our behalf with any U.S. or foreign agency pertaining to the Licensed Patents or necessary to manufacture or commercialize the Licensed Products.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Government Regulation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FDA and other regulatory authorities at foreign federal, state and local jurisdictions impose extensive requirements upon the research clinical development, testing, manufacturing, labeling, quality controls, safety, efficacy, storage,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0335"/>
                <wp:effectExtent l="0" t="0" r="0" b="0"/>
                <wp:wrapNone/>
                <wp:docPr id="44" name="Frame2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recordkeeping, distribution, marketing, advertising, promotion, post-approval monitoring, AE reporting, and pricing of pharmaceutical and medical device products. Failure to comply with applicable regulatory requirements may result in warning letters, fines, civil or criminal penalties, suspension or delays in clinical development, recall or seizure of products, partial or total suspension of production or withdrawal of a product from the market.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Drug Approval in the United States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United States, the FDA regulates drug and device products, including combination products, under the Federal Food, Drug, and Cosmetic Act (FDCA), and its implementing regulations. Combination products where the drug is intended to provide the primary mechanism of action, such as those we intend to develop, are often referred to as “drug-led combination”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process required by the FDA before drug product candidates, including drug-led combination products, may be marketed in the United States generally involves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completion of extensive preclinical laboratory tests and animal studies, with certain studies performed in accordance with the FDA’s Good Laboratory Practice (GLP) and other applicable regulations;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submission to the FDA of an IND which must become effective before human clinical trials may begin and must be updated periodically throughout clinical development;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approval by an independent institutional review board (IRB) or ethics committee at each clinical site before each trial may be initiated;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performance of adequate and well-controlled human clinical trials in accordance with Good Clinical Practice regulations (GCPs) to evaluate the safety and efficacy of the product candidate for each proposed indication;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submission to the FDA of a NDA after completion of all registrational or pivotal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determination by the FDA within 60 days of its receipt of an NDA to file the application for review;</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satisfactory completion of an FDA advisory committee review, if applicable;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satisfactory completion of an FDA pre-approval inspection of the manufacturing facility or facilities at which the product is produced and tested to assess compliance with current Good Manufacturing Practice (cGMP) regulations to assure that the facilities, methods and controls are adequate to preserve the product’s identity, strength, quality and purity;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satisfactory completion of potential inspection of selected clinical investigation sites to assess compliance with GCPs;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FDA review and approval of an NDA prior to any commercial marketing or sale of the drug in the United States.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Once a product candidate is identified for development, it enters the preclinical testing stage. Preclinical tests include laboratory evaluations of product chemistry, toxicity and formulation, as well as animal studies. The results of preclinical tests (which include laboratory evaluation as well as GLP studies to evaluate toxicity in animals) for a particular product candidate, together with related manufacturing information and analytical data, are submitted as part of an IND to the FDA. An IND is a request for allowance from the FDA to administer an investigational product to humans. The IND automatically becomes effective 30 days after receipt by the FDA, unless the FDA, within the 30-day time period, raises concerns or questions about the conduct of the proposed clinical trial, including concerns that human research subjects will be exposed to unreasonable health risks. The FDA may issue a clinical hold. In such a case, the IND sponsor and the FDA must resolve any outstanding concerns before the clinical trial can begin.</w:t>
      </w:r>
    </w:p>
    <w:p>
      <w:pPr>
        <w:pStyle w:val="TextBody"/>
        <w:bidi w:val="0"/>
        <w:spacing w:lineRule="auto" w:line="288" w:before="0" w:after="240"/>
        <w:jc w:val="left"/>
        <w:rPr/>
      </w:pPr>
      <w:r>
        <w:rPr>
          <w:rFonts w:ascii="Trade Gothic;sans-serif" w:hAnsi="Trade Gothic;sans-serif"/>
          <w:b w:val="false"/>
          <w:color w:val="000000"/>
          <w:sz w:val="19"/>
        </w:rPr>
        <w:t xml:space="preserve">Clinical trials involve the administration of the investigational product to human subjects, and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among other things, the objectives of the trial, dosing procedures, subject selection and exclusion criteria and the safety and effectiveness criteria to be evaluated. With each successive clinical trial conducted during product development and amendments to the study protocol, the sponsor must submit the study protocol and/or amendments to an existing IND. While the IND is active, progress reports summarizing the results of the clinical trials and preclinical studies performed since the last progress report, among other information, must be submitted at least annually to the FDA, and written IND safety reports must be submitted to the FDA and investigators for serious and unexpected suspected AE, findings from other studies suggesting a significant risk to humans exposed to the same or similar drugs, findings from animal or </w:t>
      </w:r>
      <w:r>
        <w:rPr>
          <w:rFonts w:ascii="Trade Gothic;sans-serif" w:hAnsi="Trade Gothic;sans-serif"/>
          <w:b w:val="false"/>
          <w:i/>
          <w:color w:val="000000"/>
          <w:sz w:val="19"/>
        </w:rPr>
        <w:t>in vitro</w:t>
      </w:r>
      <w:r>
        <w:rPr>
          <w:color w:val="000000"/>
        </w:rPr>
        <w:t xml:space="preserve"> </w:t>
      </w:r>
      <w:r>
        <w:rPr>
          <w:rFonts w:ascii="Trade Gothic;sans-serif" w:hAnsi="Trade Gothic;sans-serif"/>
          <w:b w:val="false"/>
          <w:color w:val="000000"/>
          <w:sz w:val="19"/>
        </w:rPr>
        <w:t xml:space="preserve">testing suggesting a significant risk to humans, and any clinically important increased incidence of a serious suspected adverse reaction compared to that listed in the protocol or investigator brochure. The sponsor also must notify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0335"/>
                <wp:effectExtent l="0" t="0" r="0" b="0"/>
                <wp:wrapNone/>
                <wp:docPr id="45" name="Frame3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of any unexpected fatal or life-threatening suspected adverse reaction within seven calendar days after the sponsor’s initial receipt of the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an independent IRB must review and approve the study protocol and subject recruitment materials for any clinical trial before the trial may begin. The FDA, the IRB or the sponsor may suspend a clinical trial at any time for various reasons, including a finding that the trial participants are being exposed to an unacceptable health risk. Clinical testing also must satisfy extensive GCPs, including regulations regarding informed consent and data privacy requirements with respect to health information and other individually identifiable information that may be collected during the trials.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Clinical Trials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purposes of NDA submission and approval, clinical trials are typically conducted in the following sequential phases, which may overlap or be combined: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Phase 1 Clinical Trials. Trials are initially conducted in a limited population to test the product candidate for safety, dose tolerance, absorption, distribution, metabolism and excretion, typically in healthy humans, but in some cases in patients.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Phase 2 Clinical Trials. Trials are generally conducted in a limited patient population with a specified disease or condition to identify possible adverse effects and safety risks, explore the preliminary efficacy of the product candidate for specific targeted indications and to determine dose range and tolerance. Multiple Phase 2 clinical trials may be conducted by the sponsor to obtain information prior to beginning larger and more expensive Phase 3 clinical trials.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Phase 3 Clinical Trials. These are commonly referred to as pivotal or registrational trials. Phase 3 clinical trials are undertaken in large patient populations to further evaluate dosage, provide substantial evidence of clinical efficacy and further test for safety in an expanded and diverse patient population at multiple, geographically dispersed clinical trial centers. These clinical trials are intended to establish the overall risk-benefit ratio of the product candidate and provide an adequate basis for product labeling.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Post-approval trials, sometimes referred to as Phase 4 studies, may be conducted after initial regulatory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Concurrent with clinical trials, companies often complete additional animal studies and must also develop additional information about the chemistry and physical characteristics of the product candidate and finalize a process for manufacturing the product in commercial quantities in accordance with cGMP.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New Drug Applications (NDAs)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results of drug development, preclinical studies and clinical trials are submitted to the FDA as part of an NDA. NDAs also must contain extensive chemistry, manufacturing and control information. An NDA must be accompanied by a significant user fee, which may be waived in certain circumstances. The FDA conducts a preliminary review of an NDA within the first 60 days after submission, before accepting the application for filing, to determine whether it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before FDA will review the application. Once the submission has been accepted for filing, the FDA’s goal is to review applications within ten months of the filing date, or if the submission qualifies for priority review, six months from the filing. The review process may also be extended for a three-month period for FDA to review additional information deemed a “major amendment” to the application.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During the review process, the FDA may refer the application to an advisory committee for review, evaluation and recommendation as to whether the application should be approved. The FDA is not bound by the recommendation of an advisory committee, but it considers such recommendations carefully when making decisions.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Before approving an NDA, the FDA will typically inspect one or more clinical sites to assure compliance with GCP. Additionally, the FDA will generally inspect the facility or the facilities at which the drug is manufactured. The FDA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0335"/>
                <wp:effectExtent l="0" t="0" r="0" b="0"/>
                <wp:wrapNone/>
                <wp:docPr id="46" name="Frame3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not approve the product candidate unless compliance with cGMP is satisfactory, and the NDA contains data that provide substantial evidence that the drug is safe and effective in the indication studied. After the FDA evaluates the NDA and the manufacturing facilities, it issues either an approval letter or a complete response letter (CRL). A CRL generally outlines the deficiencies in the submission and may require substantial additional testing, or information, in order for the FDA to reconsider the application when resubmitted. If, or when, those deficiencies have been addressed to the FDA’s satisfaction in a resubmission of the NDA, the FDA will issue an approval letter. Adequately responding to a CRL may require the sponsor to provide additional clinical data, including from additional clinical trials, and/or may include other significant, expensive and time-consuming requirements related to clinical trials, preclinical studies or manufacturing.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may request or FDA may grant a deferral of pediatric clinical trials for some or all of the pediatric subpopulations. A deferral may be granted for several reasons, including a finding that the drug is ready for approval for use in adults before pediatric clinical trials are complete or that additional data need to be collected before the pediatric clinical trials begin.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 approval letter authorizes commercial marketing of the drug product with specific prescribing information for specific indications. As a condition of NDA approval, the FDA may require a REMS to help ensure that the benefits of the drug outweigh the potential risks. REMS can include medication guides, communication plans for healthcare professionals, and elements to assure safe use. The requirement for a REMS can materially affect the potential market and profitability of the drug. Moreover, the FDA may require substantial post-approval testing and surveillance, such as Phase 4 clinical trials, to monitor the drug’s safety or efficacy following approval. Once granted, product approvals may be withdrawn if compliance with regulatory standards is not maintained or problems are identified during commercialization.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The NDA review process for drug-led combination includes a review of the device component.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Expedited Review Programs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FDA has a number of programs intended to expedite the development or review of a marketing application for an investigational drug product. For example, the fast track designation program is intended to expedite the process for developing and reviewing product candidates that meet certain criteria, including that the product candidate be intended to treat a serious or life-threatening disease or condition and demonstrate the potential to address unmet medical needs for the disease or condition. The sponsor of a fast track product candidate has more opportunities to interact with the applicable FDA review team during product development and, once a marketing application is submitted, the application may be eligible for priority review. With regard to a fast track product candidate, the FDA may initiate the review of sections of the application on a rolling basis before a complete application is submitted. In such case, the sponsor pays the required user fees upon submission of the first section of the marketing application.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therapeutics,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0335"/>
                <wp:effectExtent l="0" t="0" r="0" b="0"/>
                <wp:wrapNone/>
                <wp:docPr id="47" name="Frame3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NDA designated for priority review in an effort to facilitate the review. The FDA endeavors to review applications with priority review designations within six months of the filing date instead of ten months for review of original NDAs under its current PDUFA review goals.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product candidate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the sponsor receiving accelerated approval perform adequate and well-controlled confirmatory clinical trials, and may require that such confirmatory trials be underway prior to granting accelerated approval. Products receiving accelerated approval may be subject to withdrawal if the sponsor fails to conduct the required confirmatory trials in a timely manner or if such trials fail to verify the predicted clinical benefit. In addition, the FDA requires as a condition of accelerated approval pre-approval of promotional materials, which could adversely impact the timing of the commercial launch of the product.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Post-Approval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Drugs, including drug-device combination products, manufactured and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Manufacturers must continue to expend time, money and effort in the area of production and quality control to maintain compliance with cGMP and other aspects of regulatory compliance.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Once an approval is granted, 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restrictions on the marketing or manufacturing of the product, complete withdrawal of the product from the market or product recalls;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fines, warning letters, or untitled letters;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clinical holds on ongoing or planned clinical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refusal of the FDA to approve pending applications or supplements to approved applications, or suspension or revocation of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product seizure or detention, or refusal to permit the import or export of products;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consent decrees, corporate integrity agreements, debarment or exclusion from federal healthcare programs;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mandated modification of promotional materials and labeling and the issuance of corrective information;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issuance of safety alerts, Dear Healthcare Provider letters, press releases and other communications containing warnings or other safety information about the product; or</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injunctions or the imposition of civil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0335"/>
                <wp:effectExtent l="0" t="0" r="0" b="0"/>
                <wp:wrapNone/>
                <wp:docPr id="48" name="Frame3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29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the product sponsor and approved by the FDA. Physicians may believe that such off-label uses are the best treatment for many patients in varied circumstances. The FDA does not regulate the behavior of physicians in their choice of treatments. The FDA, however, restricts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Combination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Certain of our product candidates, including the BIM-IOL System, are comprised of components, such as drug components and device components, that would normally be subject to different regulatory frameworks by the FDA and regulated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center for combination products, although it does not preclude consultations by the lead center with another FDA center. The determination of which center will be the lead center is based on the “primary mode of action” of the combination product. The FDA has established an Office of Combination Products to address issues regarding combination products and provide more certainty to the regulatory review process. This office is responsible for developing guidance and regulations to clarify the regulation of combination products, and for assigning the FDA center that will have primary jurisdiction for review of a combination product where the jurisdiction is unclear or in dispute. Following approval of a combination product, each component of a combination product retains its regulatory status (as a drug or device, for example) and is subject to the requirements established by the FDA for that type of component.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 combination product candidate with a drug primary mode of action, as we believe our combination products to be regulated, generally would be reviewed and approved pursuant to an NDA. In reviewing the NDA for such a product, however, FDA reviewers at the Center for Drug Evaluation and Research (CDER) could consult with their counterparts at the Center for Devices and Radiological Health (CDRH) to ensure that the drug and device components of the combination product candidate, as applicable, met all requirements applicable to its category. In addition, under FDA regulations, combination products are subject to the cGMP requirements applicable to each component within the combination, including the Quality System Regulation (QSR) applicable to medical devices. </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Hatch-Waxman Amendments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Section 505 of the FDCA describes three types of marketing applications that may be submitted to the FDA to request marketing authorization for a drug product.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0335"/>
                <wp:effectExtent l="0" t="0" r="0" b="0"/>
                <wp:wrapNone/>
                <wp:docPr id="49" name="Frame3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color w:val="000000"/>
          <w:sz w:val="19"/>
        </w:rPr>
        <w:t xml:space="preserve">and clinical (human) data to establish safety and efficacy. Instead, generic applicants must scientifically demonstrate that their product is bioequivalent to, or performs in the same manner as, the RLD through </w:t>
      </w:r>
      <w:r>
        <w:rPr>
          <w:rFonts w:ascii="Trade Gothic;sans-serif" w:hAnsi="Trade Gothic;sans-serif"/>
          <w:b w:val="false"/>
          <w:i/>
          <w:color w:val="000000"/>
          <w:sz w:val="19"/>
        </w:rPr>
        <w:t>in vitro</w:t>
      </w:r>
      <w:r>
        <w:rPr>
          <w:rFonts w:ascii="Trade Gothic;sans-serif" w:hAnsi="Trade Gothic;sans-serif"/>
          <w:b w:val="false"/>
          <w:color w:val="000000"/>
          <w:sz w:val="19"/>
        </w:rPr>
        <w:t xml:space="preserve">, </w:t>
      </w:r>
      <w:r>
        <w:rPr>
          <w:rFonts w:ascii="Trade Gothic;sans-serif" w:hAnsi="Trade Gothic;sans-serif"/>
          <w:b w:val="false"/>
          <w:i/>
          <w:color w:val="000000"/>
          <w:sz w:val="19"/>
        </w:rPr>
        <w:t>in vivo</w:t>
      </w:r>
      <w:r>
        <w:rPr>
          <w:rFonts w:ascii="Trade Gothic;sans-serif" w:hAnsi="Trade Gothic;sans-serif"/>
          <w:b w:val="false"/>
          <w:color w:val="000000"/>
          <w:sz w:val="19"/>
        </w:rPr>
        <w:t>, or other testing. The generic version must deliver the same amount of active ingredient(s) into a subject’s bloodstream in the same amount of time as the RLD, and pursuant to state law, a generic product can often be substituted by pharmacists under prescriptions written for the RLD.</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FDA Regulatory Exclusivity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(NCE) in the United States. Patent-term restoration, however, cannot extend the remaining term of a patent beyond a total of 14 years from the product’s approval date.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Hatch-Waxman Amendments established a period of five years of non-patent data exclusivity for a new drug containing an NCE. For the purposes of this provision, a drug is considered to be an NCE if the FDA has not previously approved any other new drug containing the same active moiety, which is the molecule or ion responsible for the physiological or pharmacological action of the drug substance. If granted, the NCE exclusivity provides that an ANDA may not be filed with the FDA until the expiration of five years after approval of the RLD,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RLD’s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FDCA also provides for a period of three years of non-patent exclusivity for non-NCE drugs if the NDA or NDA supplement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originally approved product from generic competition. Unlike five-year NCE exclusivity, the three-year new clinical investigation exclusivity does not block the FDA from accepting ANDA or 505(b)(2) applications but prevents FDA from approving them.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drug product can obtain pediatric market exclusivity in the United States. Pediatric exclusivity, if granted, adds six months to existing exclusivity periods for all formulations, dosage forms, and indications of the active moiety and to patent terms. The six-month exclusivity, which runs from the end of existing regulatory exclusivity period and patent terms, may be granted based on the voluntary completion of a pediatric study that fairly responds to an FDA-issued “Written Request” for such a study, except that the pediatric exclusivity cannot be applied to any patent or exclusivity period that expires within nine months of the grant of pediatric exclusivity.</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Hatch-Waxman Patent Certification and the 30-Month Stay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no patent information on the drug product that is the subject of the application has been submitted to the FDA;</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such patent has expired;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date on which such patent expires; or</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such patent is invalid, unenforceable or will not be infringed upon by the manufacture, use, or sale of the drug product for which the application is submitted.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0335"/>
                <wp:effectExtent l="0" t="0" r="0" b="0"/>
                <wp:wrapNone/>
                <wp:docPr id="50" name="Frame3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RLD sponsor’s decision to initiate patent litigation.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FDA Medical Device Regulation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Unless otherwise specified by the FDA, under the FDCA, medical devices are classified into one of three classes-Class I, Class II or Class III-depending on the degree of risk associated with each medical device and the extent of control needed to provide reasonable assurances with respect to safety and effectiveness.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QSR, which sets forth the FDA’s current good manufacturing practices for medical devices. On January 31, 2024, the FDA issued a final rule replacing the QSR with a new regulation referred to as the Quality Management System Regulation (QMSR), which incorporates by reference the standards set forth in ISO 13485:2016, though this final rule is not scheduled to go into effect until February 2026. Class I medical devices must also comply with requirements for facility registration and product listing, reporting of adverse medical events and malfunctions, and appropriate, truthful and non-misleading labeling, advertising, and promotional materials. Most Class I products are exempt from the premarket notification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Class II devices are those that are subject to the General Controls, and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in which the device manufacturer must demonstrate substantial equivalence to a previously cleared device, known as a predicate device. In certain cases, where no predicate device exists, Class II devices may come to market through the de novo classification process.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Class III devices include devices deemed by the FDA to pose the greatest risk such as life-supporting or life-sustaining devices, implantable devices, or devices that have a new intended use, or use advanced technology that is not substantially equivalent to that of a legally marketed device. The safety and effectiveness of Class III devices cannot be reasonably assured solely by the General Controls and Special Controls described above. Therefore, these devices are subject to the premarket approval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Establishments that manufacture any class of device, including manufacturers, contract manufacturers, sterilizers, repackagers and relabelers, specification developers, reprocessors of single-use devices, remanufacturers, initial importers, and U.S. manufacturers of export-only devices, are required to register their establishments with the FDA and provide FDA a list of the devices that they handle at their facilities.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While we have no current plans to seek premarket approval for any device products, our lead combination product candidate is subject to regulation by CDER and by CDRH, although CDER has primarily jurisdiction over the drug-led combination product. The device component of our combination product candidate must comply with the applicable medical device quality controls.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Manufacturing processes for medical devices are required to comply with the applicable portions of the QSR, or QMSR, which include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all of which will be incorporated with or coordinated with the cGMP requirements for the drug component of the combination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0335"/>
                <wp:effectExtent l="0" t="0" r="0" b="0"/>
                <wp:wrapNone/>
                <wp:docPr id="51" name="Frame3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warning letters, untitled letters, fines, injunctions, consent decrees and civil penalties;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recalls, withdrawals, or administrative detention or product seizures;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operating restrictions or partial suspension or total shutdown of production;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refusing or delaying requests for marketing authorization of new products or modified products;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withdrawing marketing authorizations that have already been granted;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refusal to grant export approvals for; or</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criminal prosecution.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Other U.S. Healthcare Laws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Pharmaceutical and device manufacturers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manufacturer and distributor license requirements, and physician payment transparency laws and regulations regarding drug pricing and payments or other transfers of value made to physicians and other licensed healthcare professionals as well as similar foreign laws in the jurisdictions outside the United States.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among others, on the other. In addition, a person or entity does not need to have actual knowledge of the statute or specific intent to violate it in order to commit a violation. Although there are a number of statutory exceptions and regulatory safe harbors protecting certain business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a violation the federal Anti-Kickback Statute can serve as a basis for liability under the federal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federal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addition, there has been increased federal and state regulation of payments made to physicians and other healthcare providers. The Physician Payments Sunshine Act imposes reporting requirements on certain drug and device manufacturers for payments made by them to physicians (defined to include doctors, dentists, optometrists, podiatrists and chiropractors), certain non-physician practitioners (physician assistants, nurse practitioners, clinical nurse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0335"/>
                <wp:effectExtent l="0" t="0" r="0" b="0"/>
                <wp:wrapNone/>
                <wp:docPr id="52" name="Frame3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specialists, certified registered nurse anesthetists, anesthesiology assistants, and certified nurse midwives) and teaching hospitals, as well as ownership and investment interests held by physicians and their immediate family members. Manufacturers must report such payments to the government by the 90th day of each calendar year.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Data Privacy and Security Laws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For example, HIPAA, as amended by the Health Information Technology for Economic and Clinical Health Act (HITECH) and their respective implementing regulations, impose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 Further,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Coverage and Reimbursement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Successful sales of any drug products, if approved, in the U.S. market, will depend, in part, on the extent to which the drugs are eligible for adequate reimbursement by third-party payors, such as government health programs, such as Medicare and Medicaid, and private health insurance (including managed care plans). Coverage and reimbursement policies for drug products can differ significantly from payor to payor as there is no uniform policy of coverage and reimbursement for drug products among third-party payors in the United States. Adequate coverage and reimbursement from third-party payors are critical to new and ongoing product acceptance. Even if coverage is provided, the approved reimbursement amount may not be high enough to allow the manufacturer to establish or maintain pricing sufficient to realize a return.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or step therapy for coverage, among other criteria. For products administered under the supervision of a physician or other healthcare professional, obtaining coverage and adequate reimbursement may be particularly difficult because of the higher prices often associated with such drugs. Additionally, separate reimbursement for the product itself or the treatment or procedure in which the product is used or delivered may not be available, which may impact physician utilization.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private payors tend to follow the coverage and reimbursement policies of CMS, the federal agency that administers the Medicare and Medicaid Programs, to a substantial degree. Net prices for drugs may be reduced by mandatory discounts or rebates required by government healthcare programs or private payors and by laws that permit importation of certain drugs from countries where they may be sold at lower prices than in the United States. Increasingly, third-party payors are requiring drug companies to provide them with predetermined discounts from list prices and are challenging the prices charged for medical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cannot be sure that coverage will be available for any product candidate that we commercialize and, if available, the level of reimbursement. In addition, many pharmaceutical manufacturers must calculate and report certain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0335"/>
                <wp:effectExtent l="0" t="0" r="0" b="0"/>
                <wp:wrapNone/>
                <wp:docPr id="53" name="Frame3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information to the government, such as average sales price and best price. Penalties may apply in some cases when the required information is not submitted accurately and timely. Further, these prices for drugs may be reduced by mandatory discounts or rebates required by government healthcare programs.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U.S. Healthcare Reform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U.S. government, state legislatures and foreign governments have shown significant interest in implementing measure to reduce the cost of healthcare, including drug pricing controls. Adoption of price controls and cost-containment measures could negatively impact our net revenue and results. Decreases in third-party payor reimbursement or a decision by a third-party payor to not cover a drug product could have a material adverse effect on sales and results of business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In June 2021, the U.S. Supreme Court dismissed the most recent judicial challenge to the ACA brought by several states without specifically ruling on the constitutionality of the ACA, which remains in effect in its current form.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other legislative changes have been proposed and adopted since the ACA was enacted. On March 11, 2021, President Biden signed the American Rescue Plan Act of 2021 into law, which eliminated the statutory Medicaid drug rebate cap, for single source and innovator multiple source drugs, beginning January 1, 2024. The rebate was previously capped at 100% of a drug’s average manufacturer price. Additionally, there has been heightened governmental scrutiny in the United States of rising drug prices. Such scrutiny has resulted in several recent Congressional inquiries, presidential executive orders and proposed and enacted federal and state legislation and regulations designed to, among other things, reduce the cost of prescription drugs under Medicare, bring more transparency to product pricing, review the relationship between pricing and manufacturer patient programs, and reform government program reimbursement methodologies for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August 2022, the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Additionally, the One Big Beautiful Bill Act (OBBBA),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The OBBBA also expanded the orphan drug exemptions under the Medicare Price Negotiation Program, including an amendment to exclude orphan designated drugs for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0335"/>
                <wp:effectExtent l="0" t="0" r="0" b="0"/>
                <wp:wrapNone/>
                <wp:docPr id="54" name="Frame3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rare diseases or conditions, instead of only one disease/condition, with the initial price applicability year 2028 and after, from Medicare price negotiations, and providing that the time for measuring a former orphan drug’s eligibility for Medicare price negotiations will be calculated from the first day after the date of FDA approval for a non-orphan disease or condition, or an approval for which the drug does not have orphan drug designation. The expansion of the exemptions for orphan designated drugs from the Medicare Drug Price Negotiation Program is expected to provide greater incentives for the development of drugs for orphan diseases and conditions. We cannot predict the full impact of the OBBBA, executive orders, and new laws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any future healthcare measures and agency rules implemented by the current administration on us and the pharmaceutical industry as a whole is unclear. The implementation of cost containment measures, including the prescription drug provisions under the Inflation Reduction Act, as well as other healthcare reforms may prevent us from being able to generate revenue, attain profitability, or commercialize our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At the state level, legislatures have increasingly passed legislation and implemented regulations designed to control pharmaceutical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For example, the FDA has authorized the state of Florida to develop Section 804 Importation Programs to import certain prescription drugs from Canada for a limited period of time to help reduce drug costs, provided that Florida’s Agency for Health Care Administration meets the requirements set forth by the FDA. Other states may follow Florida.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unable to predict the future course of federal or state healthcare measures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Employees and Human Capital Resources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we had 65 full-time employees, 57 of whom were engaged in research and development activities. We also engage contractors and consultants. None of our employees are represented by a labor union or covered under a collective bargaining agreement. We have not experienced any work stoppages due to employee disputes, and we consider our relationship with our employees to be good.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Corporate Information</w:t>
      </w:r>
    </w:p>
    <w:p>
      <w:pPr>
        <w:pStyle w:val="TextBody"/>
        <w:bidi w:val="0"/>
        <w:spacing w:lineRule="auto" w:line="288" w:before="0" w:after="240"/>
        <w:jc w:val="left"/>
        <w:rPr/>
      </w:pPr>
      <w:r>
        <w:rPr>
          <w:rFonts w:ascii="Trade Gothic;sans-serif" w:hAnsi="Trade Gothic;sans-serif"/>
          <w:b w:val="false"/>
          <w:color w:val="000000"/>
          <w:sz w:val="19"/>
        </w:rPr>
        <w:t xml:space="preserve">We were incorporated in Delaware in January 2019 under the name SpyGlass Ophthalmics, Inc., and we changed our name to SpyGlass Pharma, Inc. in March 2021. Our principal executive offices are located at 27061 Aliso Creek Rd., Suite 100, Aliso Viejo, California 92656. Our telephone number is (949) 284-6904. Our website is </w:t>
      </w:r>
      <w:r>
        <w:rPr>
          <w:rFonts w:ascii="Trade Gothic;sans-serif" w:hAnsi="Trade Gothic;sans-serif"/>
          <w:b w:val="false"/>
          <w:i/>
          <w:color w:val="000000"/>
          <w:sz w:val="19"/>
        </w:rPr>
        <w:t>www.spyglasspharma.com</w:t>
      </w:r>
      <w:r>
        <w:rPr>
          <w:rFonts w:ascii="Trade Gothic;sans-serif" w:hAnsi="Trade Gothic;sans-serif"/>
          <w:b w:val="false"/>
          <w:color w:val="000000"/>
          <w:sz w:val="19"/>
        </w:rPr>
        <w:t>. Information contained on, or that can be accessed through, our website is not a part of, and is not incorporated into, this Annual Report, and the inclusion of our website address in this Annual Report is an inactive textual reference only.</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Available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Annual Report on Form 10-K, Quarterly Reports on Form 10-Q, Current Reports on Form 8-K and other filings with the SEC, and all amendments to these filings, can be obtained free of charge from our website at www.spyglasspharma.com following our filing of any of these reports with the SEC. The SEC maintains an internet site that contains reports, proxy and information statements and other information regarding issuers that file electronically with the SEC at www.sec.gov. The contents of these and other websites referenced throughout the filing are not incorporated and do not constitute a part of this filing. Further, the Company’s references to the URLs for these websites are intended to be inactive textual references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0335"/>
                <wp:effectExtent l="0" t="0" r="0" b="0"/>
                <wp:wrapNone/>
                <wp:docPr id="55" name="Frame4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used, and intend to continue to use, our investor relations website, press releases, public conference calls, and webcasts to disclose material non-public information and to comply with our disclosure obligations under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0335"/>
                <wp:effectExtent l="0" t="0" r="0" b="0"/>
                <wp:wrapNone/>
                <wp:docPr id="56" name="Frame4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color w:val="000000"/>
          <w:sz w:val="20"/>
        </w:rPr>
        <w:t xml:space="preserve">Item 1A. </w:t>
      </w:r>
      <w:hyperlink w:anchor="ifaf54775e85441fc836f60bc7c4f1464_16">
        <w:r>
          <w:rPr>
            <w:rStyle w:val="InternetLink"/>
            <w:rFonts w:ascii="Trade Gothic;sans-serif" w:hAnsi="Trade Gothic;sans-serif"/>
            <w:b/>
            <w:strike w:val="false"/>
            <w:dstrike w:val="false"/>
            <w:color w:val="000000"/>
            <w:sz w:val="20"/>
            <w:u w:val="none"/>
            <w:effect w:val="none"/>
          </w:rPr>
          <w:t>Risk Factors</w:t>
        </w:r>
      </w:hyperlink>
    </w:p>
    <w:p>
      <w:pPr>
        <w:pStyle w:val="TextBody"/>
        <w:bidi w:val="0"/>
        <w:spacing w:lineRule="auto" w:line="288" w:before="0" w:after="240"/>
        <w:jc w:val="left"/>
        <w:rPr/>
      </w:pPr>
      <w:r>
        <w:rPr>
          <w:rFonts w:ascii="Trade Gothic;sans-serif" w:hAnsi="Trade Gothic;sans-serif"/>
          <w:b w:val="false"/>
          <w:i/>
          <w:color w:val="000000"/>
          <w:sz w:val="19"/>
        </w:rPr>
        <w:t xml:space="preserve">Investing in our common stock involves a high degree of risk. Before making an investment decision, you should carefully consider the risks and uncertainties described below, together with all of the other information in this Annual Report, including the section titled “Management’s Discussion and Analysis of Financial Condition and Results of Operations” and our financial statements and related notes included elsewhere in this Annual Report. The risks and uncertainties described below are not the only ones we face.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common stock could decline, and you could lose part or all of your investment. Our Risk Factors are not guarantees that no such conditions exist as of the date of this Annual Report and should not be interpreted as an affirmative statement that such risks or conditions have not materialized, in whole or in part. </w:t>
      </w:r>
      <w:r>
        <w:rPr>
          <w:rFonts w:ascii="Trade Gothic;sans-serif" w:hAnsi="Trade Gothic;sans-serif"/>
          <w:b w:val="false"/>
          <w:color w:val="000000"/>
          <w:sz w:val="19"/>
        </w:rPr>
        <w:t>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 Factors Summary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Limited Operating History, Our Business and Our Industry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are a late-stage biopharmaceutical company with a limited operating history in developing drug delivery systems and have no products approved for commercial sale, which may make it difficult for you to evaluate our current business and predict our future success and viability.</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have incurred significant losses and negative cash flows from operations since our formation, and we anticipate that we will continue to incur significant losses for the foreseeable future and may never achieve or maintain profitability.</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are substantially dependent on the success of our lead product candidate, our BIM-IOL System, which is currently in clinical trials. If we are unable to complete development of, obtain approval for and commercialize our BIM-IOL System in a timely manner our business will be harmed. We currently generate no revenues from sales of any products and may never generate revenue or be profitable.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Even if the BIM-IOL System or any other product candidate receives marketing approval, such product candidate may fail to achieve market acceptance by surgeons, patients and others in the medical community, and the market opportunity for these product candidates, if approved, may be smaller than we estimate.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may, if approved, also face competition from existing branded, generic and off-label products.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expect that we will need substantial additional capital to complete the development and any commercialization of our current and any future product candidates, which may cause dilution to our stockholders. If we are unable to raise this capital when needed, we may be forced to delay, reduce or eliminate our research and development programs or other operations.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depend substantially on intellectual property rights granted under our license agreement with the Regents of the University of Colorado. If we lose our existing license or are unable to acquire or license additional proprietary rights from third parties, we may not be able to continue developing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If we are unable to obtain and maintain sufficient intellectual property protection for our technology, products and product candidates we may develop,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products may be adversely affected.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patent application process is subject to numerous risks and uncertainties, and there can be no assurance that we or any of our potential future collaborators will be successful in protecting our BIM-IOL System or our other product candidates by obtaining and defending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0335"/>
                <wp:effectExtent l="0" t="0" r="0" b="0"/>
                <wp:wrapNone/>
                <wp:docPr id="57" name="Frame4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become involved in third-party claims of intellectual property infringement, which may delay or prevent the development and commercialization of our BIM-IOL System and any future product candidate.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Development, Regulatory Approval and Commercialization</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The regulatory approval processes of the FDA and other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The clinical trials of our product candidates may not demonstrate safety and efficacy to the satisfaction of the FDA or other comparable foreign regulatory authorities or otherwise produce positive results.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product candidates we develop may become subject to unfavorable third-party coverage and reimbursement policies, as well as pricing regulations.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Business Operations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success is highly dependent on our ability to attract and retain highly skilled executive officers and employees.</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rely, and expect to continue to rely, on third parties, including independent clinical investigators and contract research organizations (CROs),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have identified a material weakness in our internal control over financial reporting which, if not remediated, could cause us to fail to timely and accurately report our financial results or prevent fraud, result in restatements of our financial statements and could subject our stock to delisting. As a consequence, stockholders could lose confidence in our financial reporting and our stock price could suffer.</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Ownership of Our Common Stock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 active, liquid and orderly market for our common stock may not develop, or if it is developed, may not be sustained, or we may in the future fail to satisfy the continued listing requirements of Nasdaq, and, as a result, it may be difficult for you to sell your shares of our common stock.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trading price of our common stock may be highly volatile, and you could lose all or part of your investment.</w:t>
      </w:r>
    </w:p>
    <w:p>
      <w:pPr>
        <w:pStyle w:val="TextBody"/>
        <w:bidi w:val="0"/>
        <w:spacing w:lineRule="auto" w:line="288" w:before="0" w:after="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Limited Operating History, Our Business and Our Industry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a late-stage biopharmaceutical company with a limited operating history in developing drug delivery systems and have no products approved for commercial sale, which may make it difficult for you to evaluate our current business and predict our future success and viability.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 late-stage biopharmaceutical company with a limited operating history. We have no products approved for commercial sale and have not generated any revenue from product sales. Since our inception, we have devoted substantially all of our resources to the research and development of our product candidates by conducting clinical trials and preclinical studies, building our novel drug delivery technology (SpyGlass Platform), and recruiting management and technical staff to support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we may encounter unforeseen expenses, difficulties, complications, delays and other known and unknown factors and risks frequently experienced by biopharmaceutical companies developing products in rapidly evolving fields. If any of our product candidates are approved by the U.S. Food and Drug Administration (FDA), we will need to expand our commercialization infrastructure to successfully launch such product and also may need to transition from a company with a research focus to a company capable of supporting commercial activities. If we do not adequately address these risks and difficulties or successfully make such a transition, our business will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0335"/>
                <wp:effectExtent l="0" t="0" r="0" b="0"/>
                <wp:wrapNone/>
                <wp:docPr id="58" name="Frame4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39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 xml:space="preserve">We have incurred significant losses and negative cash flows from operations since our formation, and we anticipate that we will continue to incur significant losses for the foreseeable future and may never achieve or maintain profitability.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have any products approved for sale, we have not generated any revenue from the sale of products, and we have incurred significant net losses since our company’s formation. We have funded our operations primarily from the sale and issuance of redeemable convertible preferred stock. Our net losses were $39.9 million and $29.2 million for the years ended December 31, 2025 and 2024, respectively. As of December 31, 2025, we had an accumulated deficit of $104.7 million.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incurring significant expenses and increasing operating losses for the foreseeable future. We expect that our expenses will increase substantially if and as we: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initiate additional clinical and other studies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change or add additional manufacturers or suppliers, some of which may require additional permits or other governmental approvals;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create additional infrastructure to support our operations as a public company and our product development and planned future commercialization efforts;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seek marketing approvals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 a sales, marketing, and distribution infrastructure to commercialize any product candidates for which we may obtain marketing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seek to identify, acquire and develop additional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acquire or in-license other product candidates and technologies;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make milestone or other payments in connection with the development or approval of our product candidates;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maintain, protect, and expand our intellectual property portfolio; and </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experience any delays or encounter issues with any of the above.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prior losses and expected future losses have had and will continue to have an adverse effect on our working capital and our ability to achieve and maintain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we may encounter unforeseen expenses, difficulties, complications, delays and other known and unknown factors and risks frequently experienced by biopharmaceutical companies in rapidly evolving fields. We also may need to transition from a company with a research focus to a company capable of supporting commercial activities. If we do not adequately address these risks and difficulties or successfully make such a transition, our business will suffer.</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substantially dependent on the success of our lead product candidate, our BIM-IOL System, which is currently in clinical trials. If we are unable to complete development of, obtain approval for and commercialize our BIM-IOL System in a timely manner our business will be harmed. We currently generate no revenues from sales of any products and may never generate revenue or be profitable.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future success is dependent on our ability to timely complete clinical trials, obtain marketing approval for and successfully commercialize our lead product candidate, the Bimatoprost Drug Pad-IOL System (BIM-IOL System), which is comprised of novel, proprietary non-bioerodible drug pads attached to our non-bioerodible intraocular lens (IOL), designed to release three years of bimatoprost, the active pharmaceutical ingredient (API) in a highly effective prostaglandin analog (PGA) that was approved by the FDA in 2001. The BIM-IOL System is designed to be implanted during routine cataract surgery to reduce elevated intraocular pressure (IOP) in patients undergoing cataract surgery who have either open-angle glaucoma (OAG) or ocular hypertension (OHT). We are investing significant efforts and financial resources in the research and development of the BIM-IOL System and the SpyGlass Platform generally. We are conducting a Phase 1/2 clinical trial and have initiated two registrational Phase 3 clinical trials. We expect to complete enrollment in 2027 and, pending successful Phase 3 results, we plan to submit a 505(b)(2) New Drug Application (NDA) to the FDA in 2028 to seek approval of the BIM-IOL System. We have no products approved for commercial sale and do not anticipate generating any revenue unless our BIM-IOL System or one of our other product candidates receives the regulatory approvals necessary for commercialization. Our ability to generate revenues from product sales will depend on our obtaining marketing approval for and commercializing any such approved product, and we cannot accurately predict when or if our BIM-IOL System or any of our other product candidates will be found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0335"/>
                <wp:effectExtent l="0" t="0" r="0" b="0"/>
                <wp:wrapNone/>
                <wp:docPr id="59" name="Frame4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safe and effective in humans for our proposed indications or whether our BIM-IOL System or any other such product candidates will receive marketing approval in any jurisdiction. We are not permitted to market or promote any product candidate before we receive marketing approval from the FDA and comparable foreign regulatory authorities, as applicable, and we may never receive such marketing approvals.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ability to generate revenue and achieve profitability, which we do not expect will occur for many years, if ever, depends significantly on the successful development and eventual commercialization of our product candidates. The success of our product candidates will depend on several factors, including, but not limited to,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successful and timely completion of clinical and preclinical development of our BIM-IOL System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initiation and successful patient enrollment and completion of our planned and ongoing clinical trials, as well as any necessary additional clinical trials, in each case with favorable results and on a timely basis;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establishing and maintaining relationships with contract research organizations (CROs), and clinical sites for the clinical development, both in the United States and internationally, of our BIM-IOL System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frequency and severity of adverse events (AEs) in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efficacy, safety and tolerability results that are satisfactory to the FDA or any comparable foreign regulatory authority for marketing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timely receipt of marketing approvals from applicable regulatory authorities for any of our product candidates, including the BIM-IOL System or any future product candidates, for which we successfully complete clinical development;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completing any required post-marketing commitments or requirements agreed to with or required by applicable regulatory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developing an efficient and scalable manufacturing process, either directly or through a third party contract manufacturing organization (CMO), for our product candidates, including obtaining finished products that are appropriately packaged for sale;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establishing and maintaining commercially viable supply and manufacturing relationships with third parties that can provide adequate, in both amount and quality, products and services to support clinical development and meet any potential market demand for product candidates that we develop,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locate and retain alternate suppliers for the various components of our product candidates on commercially reasonable terms;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successful commercial launch following any marketing approval, including the development of a commercial infrastructure, whether in-house or with one or more collaborators;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continued acceptable safety profile following any marketing approval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commercial acceptance of our product candidates by patients, physicians and surgeons, as well as the broader medical community, and government and third-party payors;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identifying, assessing and developing new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maintaining and expanding patent protection, trademark protection, trade secret protection and regulatory exclusivity, both in the United States and internationally;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protecting our rights in our intellectual property portfolio;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defending against third-party interference or infringement claims, if 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negotiating favorable terms in any collaboration, licensing or other arrangements that may be necessary or desirable to develop, manufacture or commercialize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coverage and adequate reimbursement for physicians, hospitals and ambulatory surgery centers from government and third-party payors for product candidates that we develop;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addressing any competing therapies and technological and market developments;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attracting, hiring and retaining qualified personnel.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We may never be successful in achieving our objectives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0335"/>
                <wp:effectExtent l="0" t="0" r="0" b="0"/>
                <wp:wrapNone/>
                <wp:docPr id="60" name="Frame4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or our CMOs may also experience delays in developing a sustainable, reproducible and scalable manufacturing process, which may prevent us from completing our clinical trials or commercializing our product candidates on a timely or profitable basis, if at all. Certain changes in the manufacturing process or facilities we intend to utilize, directly or through a CMO, may require further comparability analysis and/or prior approval by the FDA before implementation, which could delay our clinical trials and product candidate development, and could require additional clinical trials, including bridging studies, to demonstrate comparability to materials produced using different processes or at other facilities.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 xml:space="preserve">Even if the BIM-IOL System or any other product candidate receives marketing approval, such product candidate may fail to achieve market acceptance by surgeons, patients and others in the medical community, and the market opportunity for these product candidates, if approved, may be smaller than we estimate.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BIM-IOL System or any other product candidate that we develop receives marketing approval, it may nonetheless fail to gain sufficient market acceptance by surgeons, patients, and others in the medical community. Our BIM-IOL System is designed to solve for the limitations presented by currently available therapies by empowering cataract surgeons to use our BIM-IOL System when performing routine cataract surgeries and is designed to fit into all cataract surgeons’ existing procedural flow and preferred techniques; however, cataract surgeons may not accept a new treatment option or feel uncomfortable using a new technology. As a result, even if the BIM-IOL System demonstrates promising or superior clinical results, it is possible that surgeons instead may continue to rely on existing medications, products or treatments.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BIM-IOL System or any other product candidate that we develop does not achieve an adequate level of acceptance, we may not generate significant product revenues and we may not become profitable. The degree of market acceptance of the BIM-IOL System or any other product candidate that we develop, if approved, will depend on a number of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surgeons, patients and others in the medical community considering our product candidates as safe and effective treatments, and their willingness to try or prescribe, as applicable, a new therapy;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offer our product candidates for sale at competitive prices, particularly if there are alternative treatments at a lower or equivalent cost, and the availability of coverage and adequate reimbursement by third-party payors, including government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clinical indications for which the product is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potential and perceived advantages, and the relative convenience and ease of administration of our product candidates, including as compared to the existing standard of care, alternative treatments and competitive therapies;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willingness of patients to pay out-of-pocket in the absence of coverage and adequate reimbursement by third-party payors, including government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strength of our marketing and distribution support;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market introduction of our product candidates as well as competitive products;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potential for our competitors to limit our access to the market through anti-competitive contracts or other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prevalence and severity of any side effects;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restrictions on the use of our product candidates together with other medications.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Furthermore, our assessment of the potential market opportunity for the BIM-IOL System is based on industry and market data that we obtained from industry publications and research, surveys, and studies conducted by third parties, as well as management’s knowledge and experience in our industry.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the wholesale acquisition cost of iDose TR, industry publications, third-party research and other surveys, which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0335"/>
                <wp:effectExtent l="0" t="0" r="0" b="0"/>
                <wp:wrapNone/>
                <wp:docPr id="61" name="Frame4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based on a small sample size and/or fail to accurately reflect market opportunities. If any of our assumptions or estimates or any of these publications, research, surveys or studies prove to be inaccurate, then the actual market for the BIM-IOL System or any of our other product candidates may be smaller than we expect, which would have an adverse material impact on our business, financial condition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may, if approved, also face competition from existing branded, generic and off-label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development and commercialization of new drug products is highly competitive. We face competition with respect to the BIM-IOL System and will face competition with respect to any other product candidates that we may seek to develop or commercialize in the future, from large and specialty pharmaceutical, biotechnology, medical technology and ophthalmology companies, academic research institutions and governmental agencies, and public and private research institutions. Any product candidate we develop and commercialize will have to compete with existing therapies, devices and procedures as well as therapies, devices and procedures currently in development and that may be developed in the future. We believe that the key competitive factors affecting the success of any of our product candidates will include efficacy, safety, speed to market, ease of use and reliability, acceptance by physicians, reimbursement and costs, level of devoted promotional activity and IP protection.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BIM-IOL System, is designed to treat OAG and OHT, placing us in direct competition with a range of therapies, devices, procedures and technologies, including topical eye drops, laser-based interventions, MIGS, and intracameral implants. These modalities are offered by companies with significant market presence and resources. For example, we compete with alternative glaucoma surgical device and ophthalmic laser companies such as Alcon, Allergan (AbbVie), Bausch &amp; Lomb, Glaukos, and Johnson &amp; Johnson, as well as pharmaceutical competitors such as Alcon, Allergan (AbbVie), Astellas, Genentech (Roche) and Regeneron.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commercial opportunity could be reduced or eliminated if our competitors develop and commercialize products that are safer, more effective, have fewer or less severe side effects, or are easier to use, more reliable or less expensive than any of our product candidates that are approved. Our competitors also may obtain FDA or other regulatory approval for their product candidates more rapidly than we may obtain approval for ours, which could result in our competitors establishing a strong market position before we are able to enter the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Many of our current or potential competitors, either alone or with their collaboration partners, have substantially greater financial resources and may have greater expertise in research and development, manufacturing, preclinical testing, conducting clinical trials and marketing approved products than we do. Mergers and acquisitions in the pharmaceutical, biotechnology and ophthalmology industries may result in even more resources being concentrated among a smaller number of our competitors. Smaller or early-stage companies may also prove to be strong competitors, particularly through collaborative arrangements with large and established companies. These companies also compete with us in recruiting and retaining qualified scientific and management personnel, as well as in acquiring technologies and intellectual property complementary to, or necessary for, our product candidates. Because of the size of the ophthalmology and vision correction markets and the high growth profile of such markets, we anticipate that companies will dedicate substantial resources to developing competing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that competing treatment options that are successfully developed could eventually be available both within and outside the United States. Our commercial opportunity could be impacted if competitors develop treatments and therapies that are more effective, safer, easier to use, or less costly—or if they achieve regulatory approval ahead of us.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expect that we will need substantial additional capital to complete the development and any commercialization of our current and any future product candidates, which may cause dilution to our stockholders. If we are unable to raise this capital when needed, we may be forced to delay, reduce or eliminate our research and development programs or other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development of biopharmaceutical product candidates is capital-intensive. We expect to spend substantial amounts to advance our product candidates into clinical development and to complete the clinical development of, seek regulatory approvals for and commercialize our product candidates, if approved. If we obtain regulatory approval for our BIM-IOL System or any future product candidates, we expect to incur significant expenses related to developing our internal commercialization capability to support product sales, marketing, and distribution. Furthermore, we expect to incur additional costs associated with operating as a public company. We expect that we will require additional capital beyond the proceeds of our IPO, which we may raise through equity offerings, debt financings or other capital sources, including potential collaborations, licenses and other similar arrangements, to enable us to complete the development and potential commercialization of our BIM-IOL System or any future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0335"/>
                <wp:effectExtent l="0" t="0" r="0" b="0"/>
                <wp:wrapNone/>
                <wp:docPr id="62" name="Frame4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we had cash and cash equivalents and short-term investments of $107.4 million. We believe that the estimated net proceeds from our IPO, together with our existing cash and cash equivalents and short-term investments, will be sufficient to fund our operating expenses and capital expenditure requirements through  2028. This estimate is based on assumptions that may prove to be wrong, and we could use our available capital resources sooner than we currently expect. Changing circumstances could cause us to consume capital significantly faster than we currently anticipate, and we may need to spend more than currently expected because of circumstances beyond our control. Because the length of time and activities associated with successful development of our product candidates is highly uncertain, we are unable to estimate the actual funds we will require for development and any marketing and commercialization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need substantial additional capital to develop our product candidates and fund operations for the foreseeable future. Our future capital requirements will depend on many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timing, rate of progress, and costs of our clinical trials for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number and scope of clinical programs we decide to pursue;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timing, and outcome of preparing for and undergoing regulatory review of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and timing of manufacturing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of preparing, filing, and prosecuting patent applications and trademark applications, maintaining and enforcing our intellectual property rights, and defending intellectual property-related claims;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terms and timing of establishing and maintaining collaborations, licenses, and other similar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any milestone and royalty payments to our existing or future suppliers, collaborators, or licensors;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efforts to enhance operational systems and our ability to attract, hire, and retain qualified personnel, including personnel to support the development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associated with being a public company;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acquire or in-license other product candidates and technologies;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enter into licensing or collaboration arrangements for any of our programs;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and timing of future commercialization activities, including manufacturing, marketing, sales, and distribution of our product candidates, if they receive marketing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grant licenses on terms that may not be favorable to us.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Adequate additional financing may not be available to us when needed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development efforts. If we are unable to raise capital when needed or on acceptable terms,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Implantation of our BIM-IOL System involves risks and may result in complications and AEs, which may limit adoption of the BIM-IOL System, if approved, and negatively affect our business, financial condition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BIM-IOL System is designed to be implanted into the capsular bag of the eye in connection with cataract surgery. As with any cataract surgery, there are inherent risks and potential complications involved. These risks may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0335"/>
                <wp:effectExtent l="0" t="0" r="0" b="0"/>
                <wp:wrapNone/>
                <wp:docPr id="63" name="Frame4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but are not limited to, infection, inflammation, bleeding, retinal detachment, increased IOP, dislocation or improper positioning of the IOL, visual disturbances and other AEs. In rare cases, these complications can result in permanent loss of vision or require additional surgical intervention to correct or remove the IOL.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safe and intended use of our BIM-IOL System depends not only on the design and quality of the system but also on the skill and experience of the surgeon performing the implantation. Variability in surgical technique, improper handling or placement of the system, or failure to follow recommended procedures could lead to higher rates of complications or AEs. Additionally, certain patient-specific factors, such as pre-existing ocular conditions or anatomical differences, may elevate the risk of complications.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Negative outcomes associated with our product candidates, whether due to product-related issues, surgical error or patient factors, could result in product liability claims, increased scrutiny from regulatory authorities and negative publicity. Furthermore, reports of AEs or complications could discourage surgeons from adopting our BIM-IOL System, even if approved, or lead to reluctance among patients to undergo procedures involving our BIM-IOL System, thereby limiting our ability to achieve or maintain market acceptance.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unable to demonstrate the safety and effectiveness of our BIM-IOL System and obtain the approvals required for commercialization, or if AEs associated with their use become widely known following such approval for commercialization, our business, financial condition and results of operations could be materially and adversely affected.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the components of our BIM-IOL System experience mechanical failure during clinical trials or potential future commercial use, our business, financial condition and prospects could be negatively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BIM-IOL System is still under development and has not received regulatory approval for commercial sale. As with other ophthalmic implants, our BIM-IOL System incorporates delicate components, such as haptics, that are essential for proper positioning and stability within the eye. During clinical trials or potential future commercial use, mechanical failure of these components—including haptic breakage—may occur during handling, implantation, or post-operatively. Such failures could result in lens dislocation, the need for additional or unplanned surgical intervention, or other adverse clinical outcomes, including compromised visual acuity or patient dissatisfaction.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haptic breakage or other mechanical failures are observed during clinical trials, such events could delay or prevent regulatory approval, require design modifications, or necessitate additional studies. Reports of such failures could also lead to increased regulatory scrutiny, negative publicity, or reluctance among investigators, surgeons, or patients to participate in our clinical trials. Even if our BIM-IOL System ultimately receives regulatory approval, any history of mechanical failures could limit physician and patient adoption, result in product complaints, or expose us to product liability claims.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events could have a material adverse effect on our business, financial condition, and prospects, and could prevent us from successfully commercializing our BIM-IOL System.</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product liability lawsuits are brought against us, we may incur substantial liabilities and may be required to limit commercialization of our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business exposes us to significant product liability risks inherent in the development, testing, manufacturing and marketing of therapeutic treatments. Product liability claims could delay or prevent completion of our development programs. If any of our product candidates are approved for marketing, such claims could still result in an FDA or other regulatory authority investigation of the safety and effectiveness of such products, our manufacturing processes and facilities or our marketing programs. These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injury to our reputation, withdrawal of clinical trial participants, costs to defend the related litigation, a diversion of management’s time and our resources, initiation of investigations by regulators, substantial monetary awards to patients or other claimants, the inability to commercialize our product candidates and decreased demand for our product candidates, if approved for commercial sale.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and, if judgments exceed our insurance coverage, could adversely affect our results of operations and business and cause our stock price to decline. Furthermore, clinical trial and product liability insurance is becoming increasingly expensive. As a result,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0335"/>
                <wp:effectExtent l="0" t="0" r="0" b="0"/>
                <wp:wrapNone/>
                <wp:docPr id="64" name="Frame4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unable to maintain or obtain insurance coverage at a reasonable cost or in sufficient amounts to protect us against losses, including those caused by product liability claims.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lead product candidate, the BIM-IOL System, is designed to deliver an API that is already on the market, which exposes us to additional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BIM-IOL System is designed to deliver APIs to the eye of a subject when implanted during cataract surgery. The selected API of our BIM-IOL System, bimatoprost, is the API, a highly effective PGA that was approved by the FDA in 2001 for the reduction of elevated IOP in patients with OAG or OHT. Bimatoprost in the crystalline form we use has been in the public domain and used for the treatment of eye disorders for many years and we are therefore not able to seek and obtain patent protection for the form of crystalline bimatoprost we use in our BIM-IOL System. We cannot prevent third parties from using bimatoprost in competitor ophthalmic drug delivery products because it is in the public domain and accessible by third parties. This may permit a third party having a competing product to be more competitive against us. We purchase bimatoprost from a third-party vendor who has sold the form of bimatoprost that we use in our product candidates for many years. We cannot prevent third parties from purchasing bimatoprost from our vendor or other vendors selling bimatoprost. We cannot prevent our vendor from selling bimatoprost to third parties for their ophthalmic products, which may be similar to our BIM-IOL System or other product candidates. Our vendor does not have patent protection for the bimatoprost that we purchase. We or our vendor cannot prevent third party vendors from making and/or selling bimatoprost such as selling the third party vendors’ bimatoprost to third party competitors. Furthermore, if manufacturer demand for bimatoprost increases in the future, or if a shortage occurs, we may not be able to continue to obtain bimatoprost on commercially reasonable terms or at all, which would significantly harm our business. Similar risks will apply to the extent that we incorporate additional or different APIs that are also already in the public domain into any future product candidates we develop.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although bimatoprost has been commercially available for several years, regulatory authorities may identify adverse side effects related to bimatoprost in the future. Any adverse side effects that arise from the use of any form of bimatoprost, or reporting thereof, could prevent or inhibit the commercialization of our BIM-IOL System and seriously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Changes in U.S. trade policy, including recently announced tariffs, could have a material adverse impact on our business, financial condition,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Changes in U.S. trade policy, including recently announced tariffs, could have a material adverse impact on our business, financial condition, and results of operations. The imposition of retaliatory or new tariffs or increases in existing tariffs on goods imported from countries where we source from third party suppliers could result in increased material costs. If we are unable to mitigate these risks through supply chain adjustments, such as changing third party suppliers, the development, testing and clinical trials of our product candidates may be delayed or infeasible, and regulatory approval or commercial launch of any resulting product may be delayed or not obtained, which could significantly harm our business.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Intellectual Property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depend substantially on intellectual property rights granted under our license agreement with the Regents of the University of Colorado. If we lose our existing license or are unable to acquire or license additional proprietary rights from third parties, we may not be able to continue developing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March 2020, we entered into an Exclusive License Agreement with the Regents of the University of Colorado (CU), which was amended in December of 2020, May of 2023, and October of 2025 (as amended, the License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0335"/>
                <wp:effectExtent l="0" t="0" r="0" b="0"/>
                <wp:wrapNone/>
                <wp:docPr id="65" name="Frame5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which CU granted us an exclusive, worldwide, royalty-bearing, transferable license, with the right to grant sublicenses, under certain patents and patent applications co-owned by CU and us relating to an intraocular drug dispenser (the Licensed Patents) for us to make, have made, use, import, offer to sell, sell, render and practice all products covered by the Licensed Patents (the License, and such products of the Licensed Patents) in all fields. All Licensed Patents are jointly owned by CU and us. CU retains the non-exclusive right for itself and all other not-for-profit academic and research institutions to practice all Licensed Products for educational, research, clinical, or other non-commercial purposes. The U.S. federal government retains a non-exclusive right to practice the Licensed Patents under 35 U.S.C. §§ 200-212 and 37 C.F.R. § 401, and we must use commercially reasonable efforts to cause any Licensed Products to be manufactured substantially in the United States to the extent required by 35 U.S.C. § 204.</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License Agreement, we are obligated to use commercially reasonable efforts to develop, market and sell at least two Licensed Products in all fields worldwide, to meet certain diligence milestones by certain deadlines, and to pay CU an annual license fee, milestone payments and royalties. CU may terminate the agreement for, among other causes, our uncured material breach of the License or our failure to use commercially reasonable efforts to develop a product covered by the Licensed Patents in the territories set forth in the License, including efforts to meet the development and commercial milestones and obligations in the License Agreement, and cessation of sales of a commercially sold Licensed Product for two consecutive calendar quarters, in each case pursuant and subject to the terms of the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Termination of this license for failure to comply with such obligations or for other reasons, or reduction or elimination of our licensed rights under it or any other license, may result in our having to negotiate new or reinstated licenses on less favorable terms or our not having sufficient intellectual property rights to operate our business. The occurrence of such events could materially harm our business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risks described elsewhere pertaining to our intellectual property rights also apply to the intellectual property rights that we in-licensed, and any failure by us or our licensors to obtain, maintain, defend and enforce these rights could have a material adverse effect on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obtain and maintain sufficient intellectual property protection for our technology, products and product candidates we may develop,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success depends in large part on our ability to obtain and maintain patent protection in the United States and select foreign countries with respect to our BIM-IOL System and any future product candidates. We rely upon a combination of patents, trademarks and trade secret protections, and nondisclosure, confidentiality, employment agreements, work-for-hire agreements and other work-product agreements to protect the intellectual property related to our BIM-IOL System and our other product candidates. If we are unable to obtain or maintain patent protection with respect to our BIM-IOL System or any future product candidates, and their uses, our business, financial condition, resultant operations and prospects could be materially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generally seek to protect our proprietary position by filing patent applications in the United States and in certain select foreign jurisdictions including Canada, Japan, Australia, and Europe related to our BIM-IOL System and our other product candidates that are important to our business. If we fail to obtain, maintain and protect our intellectual property, third parties may be able to compete more effectively against us. In addition, we may incur substantial costs related to litigation or other patent proceedings in the United States or foreign countries in which we have sought patent prosecution in our attempts to recover losses caused by a third party or restrict use of our intellectual property by a third party. The patent prosecution process is expensive and time-consuming, and we may not be able to file, prosecute, enforce or license all necessary or desirable patent applications at a reasonable cost or in a timely manner or in all jurisdictions where protection may be commercially advantageous or even in the jurisdictions where we have sought patent protection. Additionally, recent reforms, U.S. Supreme Court and Federal Circuit jurisprudence, specific governmental appointments, and changes at government agencies of the United States and those of non-U.S. jurisdictions could increase the delays, uncertainties and costs surrounding the prosecution of our patent applications, and the maintenance, enforcement, or defense of our patents. For example, the ability of the U.S. Patent and Trademark Office (USPTO) and other applicable patent authorities to properly administer their functions is highly dependent on the levels of funding available to the agency, the specific appointees positioned in the USPTO, and the USPTO’s ability to retain personnel and fill key leadership appointments, among various factors. New statutory frameworks, new case law, or USPTO rulemaking and advisement can significantly impact our ability to obtain, enforce, and defend our patents. For example, a change regarding patent eligible subject matter can have drastic effects on medical technologies, especially with respect to surgical methods and proposed methods of treatment. Termination of employees or delays in replacing or hiring for positions could significantly impact the ability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0335"/>
                <wp:effectExtent l="0" t="0" r="0" b="0"/>
                <wp:wrapNone/>
                <wp:docPr id="66" name="Frame5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USPTO and other applicable patent authorities to fulfill their functions and could greatly impact our ability to timely and adequately prosecute or maintain our patent applications, and our ability to timely and adequately maintain, enforce, or defend our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output and data before it is too late to obtain patent protection because of a third party filing or a disclosure into the public domain. Moreover, if we choose to license certain patent rights now or in the future from third parties, we may not have the right to control the preparation, filing and prosecution of such patent applications, or to maintain the patents, directed to technology that we license from those third parties. We may also require the cooperation of our future licensor, if any, in order to enforce and/or defend the licensed patent rights, and such cooperation may not be provided. Therefore, any licensed patents and patent applications may not be prosecuted and enforced in a manner consistent with the best interests of our business. We cannot be certain that patent prosecution and maintenance activities by any of our future licensors have been or will be conducted in compliance with applicable laws and regulations, which may affect the validity and enforceability of such patents or any patents that may issue from such patent applications. If they fail to obtain a patent, this could cause us to lose rights in any applicable intellectual property that we in-license, and as a result our ability to develop and commercialize the BIM-IOL System and our other product candidates may be adversely affected and we may be unable to prevent competitors from making, using and selling competing products to our products or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patent positions of companies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that could narrow or otherwise alter the scope of coverage of our patent.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our patents or any other patents owned by or licensed to us could deprive us of rights necessary for our commercial success. Further, there can be no assurance that we will have adequate resources to enforce our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selected API of our BIM-IOL System, bimatoprost, is an approved and known pharmaceutical that has been in the public domain and used for the treatment of eye disorders for many years and we are therefore not able to seek and obtain patent protection for the form of crystalline bimatoprost we use in our BIM-IOL System. There is no assurance that all of the potentially relevant patents or patent applications relating to bimatoprost or its forms and formulations have been identified in the United States and in foreign jurisdictions, the identity of which could be asserted against our use of bimatoprost in our BIM-IOL System. A third party may hold patent protection on the API bimatoprost used in our platform in its current form. These patents may be asserted against us in litigation such as patent infringement or other cause of action, for our use of the API in our BIM-IOL System. If a patent is asserted against us, this could have a negative impact on our business. The third party holding such a patent may have substantially greater resources than we do and may have competing technologies that may limit, interfere with, or block our ability to make, have made, use, import, offer to sell, and sell our BIM-IOL System or other product candidates where the delivered drug is bimatoprost. If a patent is asserted against us, we would need to divert considerable resources and personnel to fight such an action in order to defend our position and to challenge the patent’s validity, enforceability, or scope, which may result in such asserted patents being upheld but may also result in such patent being narrowed, invalidated or held unenforceable. Such actions would require considerable resources and time distracting us from our business. We may be forced to take a license, if offered, from a third party holding such a patent for use of bimatoprost in our BIM-IOL System or other product candidates in the future. If we are unable to obtain a license under reasonable terms, we may be forced to use a different API that could be less desirable or effective in our proposed treatments. In addition, these patents could be asserted against our vendor that supplies bimatoprost to us and we could be forced to seek alternative sources of bimatoprost not protected by the patent or to seek a different API from our vendor or a different vendor to use in our BIM-IOL System. If we are forced to use a different API in our BIM-IOL System, we would have to expend considerable resources and time assessing a replacement API that is at least as effective as bimatoprost and in developing and testing the new API in our BIM-IOL System, which may cause significant additional expenses for example, when manufacturing or seeking regulatory approval for a replacement API in our BIM-IOL 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0335"/>
                <wp:effectExtent l="0" t="0" r="0" b="0"/>
                <wp:wrapNone/>
                <wp:docPr id="67" name="Frame5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patent applications we hold or may in-license in the future with respect to our BIM-IOL System and product candidates fail to issue, if their breadth or strength of protection is threatened, or if they fail to provide meaningful exclusivity for our BIM-IOL System or any future product candidate, it could dissuade other companies from collaborating with us to develop product candidates, and threaten our ability to commercialize the BIM-IOL System or future product candidates. Any such outcome could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issuance of a patent is not conclusive as to its inventorship, scope, validity or enforceability, and our owned and licensed patents and patent applications may be challenged in the courts or patent offices in the United States and our selected foreign jurisdictions. Patents that have issued may later be found invalid or unenforceable or may be modified or revoked in proceedings instituted by third parties before various patent offices or in courts. An adverse decision in any such challenges may result in loss of exclusivity or in patent claims being narrowed, invalidated or held unenforceable, in whole or in part, which could limit our ability to stop others from using or commercializing similar or identical technologies and products, or limit the duration of the patent protection of our technology and product candidates. Additionally, an adverse decision in any such challenge can impact the validity or enforceability of other patents of ours that are not part of the adverse decision but related to our challenged patents. Generally, issued patents are granted a term of 20 years from the earliest claimed non-provisional filing date. In certain instances, patent term can be adjusted to recapture a portion of delay incurred by the USPTO in examining the patent application (patent term adjustment) if the delays by the USPTO outnumber the days of delay created by the patentee in the examination process. The scope of patent protection may also be limited as a result of successful challenges or other processes available to narrow the scope of claims of a patent post issuance.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Without patent protection for our BIM-IOL System or future product candidates, we may be open to competition from similar or the same products as our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a duration of patent protection rights of sufficient length to exclude others from commercializing products similar or identical to our product candidates.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patent application process is subject to numerous risks and uncertainties, and there can be no assurance that we or any of our potential future collaborators will be successful in protecting our BIM-IOL System or our other product candidates by obtaining and defending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Pending patent applications cannot be enforced against third parties practicing the technology claimed in such applications unless and until a patent is issued for such applications. The patent application process is subject to numerous risks and uncertainties, and there can be no assurance that we or any of our potential future development partners will be successful in protecting our BIM-IOL System or our other product candidates by obtaining and defending patents. These risks and uncertainties include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USPTO and various foreign governmental patent agencies where we have pursued patent protection require compliance with a number of procedural, documentary, fee payment structure and other provisions during the patent prosecution process and maintenance thereof, the noncompliance with which can result in abandonment or lapse of a patent or patent application, and partial or complete loss of patent rights in the relevant jurisdiction;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USPTO requires us to disclose all material references to the USPTO and to the Patent Examiner during prosecution of our patent applications at the USPTO, and failure to do so could result in a third party identifying material references unknown to us and successfully challenging our ability to obtain a patent, maintain a patent or enforce a patent against an infringer;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 applications may not result in any patents being issued;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may be challenged, invalidated, modified, revoked, circumvented, found to be unenforceable or otherwise may not provide any competitive advantage against third party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competitors, many of whom have substantially greater resources than we do and many of whom have made significant investments in competing technologies, may seek or may have already obtained patents that will limit, interfere with, reduce or block our ability to make, have made, use, import, offer to sell, and sell our BIM-IOL System or other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there could be delays at the USPTO caused by staffing cuts and other U.S. government actions as a result of the U.S. Department of Government Efficiency or other executive actions to reduce the size of the U.S. government and in particular the USPTO staff;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0335"/>
                <wp:effectExtent l="0" t="0" r="0" b="0"/>
                <wp:wrapNone/>
                <wp:docPr id="68" name="Frame5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49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there may be significant pressure on the U.S. government and foreign governmental bodies to limit the scope of patent protection both inside and outside the United States for use of our BIM-IOL System or other product candidates in the treatment of eye-related conditions that prove successful, as a matter of public policy regarding U.S and foreign health concerns;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countries other than the U.S. may have patent laws less favorable to patentees than patent laws in the U.S. Patent Office or those upheld by U.S. courts in as far as obtaining and enforcing patent rights, allowing foreign competitors a better opportunity to create, develop and market competing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patents and patent applications that we own or license may fail to result in patents with claims that protect our BIM-IOL System, development programs or any future product candidate in the United States or in other foreign countries of which we seek protection. There is no assurance that all of the potentially relevant prior art relating to our patents and patent applications has been found, which can prevent a patent from issuing from a pending patent application or can be used to invalidate a patent. Even if patents do successfully issue and even if such patents cover our BIM-IOL System or any future product candidate, third parties may challenge their validity, enforceability or scope, which may result in such patents being narrowed, invalidated or held unenforceable. Any successful opposition to these patents or any later obtained patents owned by, or licensed to us could deprive us of rights necessary for the successful commercialization of our BIM-IOL System or any other product candidates that we may develop. Further, the scope and coverage of our patents may be so narrow that a third party could design around our patents and therefore, not infringe our patent(s). Further, if we encounter delays in issuance of a patent and/or regulatory approvals, the period during which we could market a product candidate under patent protection could be reduced.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 foregoing events could have a material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U.S. and foreign patent laws relating to the patentability of certain inventions in drug delivery technology, medical device and medical product industry are uncertain and rapidly changing, which may adversely impact our existing patents or our ability to obtain patents in the future.</w:t>
      </w:r>
    </w:p>
    <w:p>
      <w:pPr>
        <w:pStyle w:val="TextBody"/>
        <w:bidi w:val="0"/>
        <w:spacing w:lineRule="auto" w:line="288" w:before="0" w:after="240"/>
        <w:jc w:val="left"/>
        <w:rPr/>
      </w:pPr>
      <w:r>
        <w:rPr>
          <w:rFonts w:ascii="Trade Gothic;sans-serif" w:hAnsi="Trade Gothic;sans-serif"/>
          <w:b w:val="false"/>
          <w:color w:val="000000"/>
          <w:sz w:val="19"/>
        </w:rPr>
        <w:t xml:space="preserve">Changes in either patent laws or interpretation of patent laws in the United States or in other jurisdictions could increase the uncertainties and costs surrounding the prosecution of patent applications, the grant of patents, and the enforcement or defense of patents. In the last fifteen years, the U.S. Congress made sweeping changes to patent law in passing the America Invents Act (AIA). Additionally, appointed government officials to the USPTO or that control the USPTO processes can participate in selective enforcement making selective decisions and rule-making that can affect the issuance and/or enforceability and/or post-grant challenges to the validity of our patent(s) and patent applications. These changes include, among others, allowing third-party submission of prior art to the USPTO during patent prosecution and additional procedures to challenge the validity of a patent by the USPTO administered post-grant proceedings, including post-grant review, </w:t>
      </w:r>
      <w:r>
        <w:rPr>
          <w:rFonts w:ascii="Trade Gothic;sans-serif" w:hAnsi="Trade Gothic;sans-serif"/>
          <w:b w:val="false"/>
          <w:i/>
          <w:color w:val="000000"/>
          <w:sz w:val="19"/>
        </w:rPr>
        <w:t>inter partes</w:t>
      </w:r>
      <w:r>
        <w:rPr>
          <w:color w:val="000000"/>
        </w:rPr>
        <w:t xml:space="preserve"> </w:t>
      </w:r>
      <w:r>
        <w:rPr>
          <w:rFonts w:ascii="Trade Gothic;sans-serif" w:hAnsi="Trade Gothic;sans-serif"/>
          <w:b w:val="false"/>
          <w:color w:val="000000"/>
          <w:sz w:val="19"/>
        </w:rPr>
        <w:t>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our claim invalid even though the same evidence would be insufficient to invalidate our claim if first presented in a district court action. The AIA also provides that an administrative tribunal known as the Patent Trial and Appeals Board (PTAB), provides a venue for challenging the validity of patents at a cost that is much lower than district court litigation and on timelines that are much faster. Although it is not clear what, if any, long-term impact the PTAB proceedings will have on the operation of our business, the initial results of patent challenge proceedings before the PTAB since its inception in 2013 have resulted in the invalidation of many U.S. patent claims. The availability of the PTAB as a lower-cost, faster and potentially more potent process for challenging patents could increase the likelihood that our patents will be challenged, thereby increasing the uncertainties and costs of maintaining and enforcing them. The changes brought about by the AIA can increase the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Various courts, including the U.S. Supreme Court, have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to pending patent applications when examining claims for patent eligibility. Patent eligibility guidelines vary by country and patent claims that may be subject matter eligible in the United States may not be eligible in another foreign jurisdiction. For example, as compared to the United States, our ability to obtain claims to medical methods is more limited in Europe, Japan and Canada. Additionally, enforcement and recoverable damages in the United States based on patent claims to medical methods have limitations that may affect our ability to enforce certain patent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0335"/>
                <wp:effectExtent l="0" t="0" r="0" b="0"/>
                <wp:wrapNone/>
                <wp:docPr id="69" name="Frame5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Actions taken by the U.S. Congress, federal courts and USPTO have from time to time narrowed the scope of patent protection available in certain circumstances and weakened the rights of patent owners in some situations. Similar changes have been made by authorities in other foreign jurisdictions. In addition to increasing uncertainty with regard to our ability to obtain patents, such changes create uncertainty with respect to the value of patents, once obtained. Depending on decisions by authorities in the United States and in selected foreign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sure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drug delivery and medical device technology areas and any such changes, or any similar adverse changes in the patent laws of other foreign jurisdictions, could have a negative impact on our business, financial condition, prospects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on June 1, 2023, the European Union Patent Package (EU Patent Package) regulations were implemented with the goal of providing a single pan-European Unitary Patent (Unitary Patent) and a new European Unified Patent Court (UPC) for litigation involving European patents. As a result, all European patents, including those issued prior to ratification of the EU Patent Package, now by default automatically fall under the jurisdiction of the UPC, unless otherwise selecting a different course by opting out at the time of grant. It is uncertain how the UPC will impact granted European patents in the biotechnology, medical products and pharmaceutical industries. Our European patent applications, if granted and not opted out, could be challenged in the UPC. During the first seven years of the UPC’s existence, the UPC legislation allows a patent owner to opt its European patents out of the jurisdiction of the UPC. We have already opted out of the UPC for one European patent and may decide to opt out our other future European patents from the UPC, but doing so may preclude us from realizing the benefits of the UPC. Moreover, if we do not meet all of the formalities and requirements for opt-out under the UPC, our current or future European patents could remain under the jurisdiction of the UPC. The UPC provides our competitors with a forum to centrally revoke our European patents and allow for the possibility of a competitor to obtain a pan-European injunction. Such a loss of patent protection could have a material adverse impact on our business and our ability to commercialize our technology and our product candidates due to increased competition and, resultantly, affecting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Patent terms may be inadequate to protect our competitive position on our BIM-IOL System or other product candidates for an adequate amount of time.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Patent rights are of limited duration. In the United States, if all maintenance fees are paid timely, the natural expiration of a patent is generally 20 years after its first effective filing date. However, the actual protection afforded by a patent varies from country to country, and depends on many factors, including the type of patent, the scope of its coverage, the availability of regulatory-related extensions, the availability of legal remedies in a particular country and the validity and enforceability of the patent. Various extensions may be available, but the life of a patent, and the protection it affords is limited. Only a single patent can be extended for each marketing approval under the FDA, and any patent can be extended only once, for a single product. Moreover, the scope of protection during the period of the patent term extension does not extend to the full scope of the claims, but instead only to the scope covering the product as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third-party products. As a result, our patent portfolio may not provide us with sufficient rights to exclude others from commercializing product candidates similar or identical to ours. Upon issuance in the United States, the term of a patent may be increased by patent term adjustment, which is based on certain delays caused by the USPTO, but this increase can be reduced or eliminated based on certain delays caused by the patentee during patent prosecution. The term of a U.S. patent may also be shortened if the patent is terminally disclaimed over an earlier-filed patent.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Depending upon the timing, duration and specifics of FDA marketing approval of our BIM-IOL System and future product candidates, one or more of our U.S. patents may be eligible for limited patent term extension under the Drug Price Competition and Patent Term Restoration Act of 1984, referred to as the Hatch-Waxman Amendments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0335"/>
                <wp:effectExtent l="0" t="0" r="0" b="0"/>
                <wp:wrapNone/>
                <wp:docPr id="70" name="Frame5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combination drug and device FDA-approved product. The Hatch-Waxman Amendments permit a patent restoration term of up to five years and is based on the first approved use of a combination product and is limited to only one patent that covers the approved combination product, the approved use of the combination product, or a method of manufacturing the combination product. Such patent term extension (PTE) cannot extend the remaining term of a patent beyond a total of 14 years from the date of product approval. However, the applicable authorities, including the FDA and the USPTO,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PTE is only relevant after a patent has been issued. If the USPTO or other foreign patent office delays issuance of a patent, this can affect the number of days awarded that extend patent term. The PTE is awarded based upon the FDA’s regulatory review period, but the PTE evaluation stage involves cooperation between the USPTO and the FDA. Reduced personnel and increased workload of USPTO examiners can affect issuance of a patent and if delayed, shortens the number of PTE days eligible for award. Administrative changes (e.g., at the FDA or USPTO) may also lead to delays in review and analysis of regulatory submissions or requests for PTE. If we are unable to extend the expiration date of our existing patents or obtain new patents covering our product(s) with prolonged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 If PTE is unavailable, reduced or not awarded, our ability to prevent third parties from selling products that infringe our patent subject to PTE covering our ophthalmic drug delivery product candidates or other future product candidates can be reduced where our patents could expire sooner if PTE is reduced or not awarded.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Laws governing PTE in foreign jurisdictions where we have pursued patent protection analogous to U.S. PTE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patent term restoration, or the term of any such extension is less than we request, the period during which we will have the right to exclude others from marketing our product in the specific jurisdiction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identify relevant third-party patents or may incorrectly interpret the relevance, scope or expiration of a third-party patent, which might adversely affect our ability to develop and market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the drug delivery and medical device industries expand and more patents are issued, the risk increases that our BIM-IOL System or our other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in the United States or foreign jurisdictions. Identification of third-party patent rights that may be relevant to our operations is difficult because patent searching is imperfect due to differences in terminology among patents, varied public access when comparing searching programs, incomplete databases and the difficulty in assessing the meaning of patent claims. We cannot provide any assurances that third-party patents do not exist which might be enforced against our existing product candidates or current technology, including our BIM-IOL System or any of our future product candidates, their respective methods of use, and manufacture thereof, and could result in either an injunction prohibiting our manufacture or future sales, or, with respect to our future sales, an obligation on our part to pay royalties and/or other forms of compensation to third parties, which could be significant.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that is relevant to or necessary for the commercialization of our BIM-IOL System and future product candidates in any jurisdiction.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Numerous U.S. and foreign patents and patent applications exist in our market that are owned by third parties. Our competitors in both the United States and in foreign jurisdictions,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offer to sell and sell our BIM-IOL System or our other product candidates. Patents and patent applications in foreign jurisdictions can be harder to find and therefore, it is possible that we will not be able to identify patent or patent applications relevant to our product candidates. We do not always conduct independent reviews of pending patent applications and patents issued to third parties. Patent applications in the United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0335"/>
                <wp:effectExtent l="0" t="0" r="0" b="0"/>
                <wp:wrapNone/>
                <wp:docPr id="71" name="Frame5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certain foreign countries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a patent issues and therefore, remains confidential from the public until such time. In addition, patent applications in the United States and certain foreign jurisdictions can be pending for many years before issuance, or unintentionally abandoned patents or applications can be revived. Furthermore, pending patent applications that have been published can, subject to certain limitations, be later amended in a manner that could cover our BIM-IOL System or our other product candidates or the use of our BIM-IOL System or our other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BIM-IOL System or our other product candidates or will prevent, limit or otherwise interfere with our ability to make, use, offer to sell, or sell our BIM-IOL System or our other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scope of a patent claim is determined by an interpretation of the law, the written disclosure in a patent and the patent’s prosecution history. Our interpretation of the relevance or the scope of a patent or a patent application may be incorrect, which may negatively impact our ability to market our product candidates, if approved. For example, we may incorrectly determine that our BIM-IOL System or our other product candidate(s) are not covered by a third-party patent or may incorrectly predict whether a third party’s pending application will issue with claims of relevant scope. Our determination of the expiration date of any patent in the United States or foreign jurisdictions that we consider relevant may be incorrect, and our failure to identify and correctly interpret relevant patents may negatively impact our ability to obtain patents covering our product candidates(s) and develop and market our product candidates. Our failure to identify and correctly interpret relevant patents may negatively impact our ability to develop and market our product candidates, if approved.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Obtaining and maintaining our patent protection depends on compliance with various procedural processes,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Periodic maintenance fees, renewal fees, annuity fees and various other government fees on patents and/or patent applications will be due to be paid to the USPTO and certain foreign patent agencies in several stages over the lifetime of our patents and patent applications. The USPTO and various foreign patent agencies require compliance with a number of procedural, documentary, fee payment, and other similar provisions during the patent application and patent maintenance process if not complied with by us, can lead to a shortened life of our patents or our patent applications and the patents or patent applications can go abandoned without the ability to revive. While an inadvertent lapse can in many cases be cured by payment of a late fee or by other means in accordance with the applicable rules in the USPTO, there are situations in which noncompliance can result in abandonment or lapse of the patent or patent application in the United States or foreign jurisdictions,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failure to pay an annuity by a final deadline, failure to pay a grant or issue fee by a final deadline, and failure to properly legalize and submit formal documents without the ability to cure. We employ reputable law firms and other professionals to help us comply with these provisions. In many cases, an inadvertent lapse can be cured by payment of a late fee or by other means in accordance with the applicable rules. If we or any of our licensors fail to maintain the patents and patent applications covering the BIM-IOL System or any future product candidate, our competitors may be able to enter the market with products similar or the same as ours without risk of infringement, which would have an adverse effect on our business, financial conditions, results of operations and growth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become involved in third-party claims of intellectual property infringement, which may delay or prevent the development and commercialization of our BIM-IOL System and any future product candidate.</w:t>
      </w:r>
    </w:p>
    <w:p>
      <w:pPr>
        <w:pStyle w:val="TextBody"/>
        <w:bidi w:val="0"/>
        <w:spacing w:lineRule="auto" w:line="288" w:before="0" w:after="240"/>
        <w:jc w:val="left"/>
        <w:rPr/>
      </w:pPr>
      <w:r>
        <w:rPr>
          <w:rFonts w:ascii="Trade Gothic;sans-serif" w:hAnsi="Trade Gothic;sans-serif"/>
          <w:b w:val="false"/>
          <w:color w:val="000000"/>
          <w:sz w:val="19"/>
        </w:rPr>
        <w:t xml:space="preserve">Our commercial success depends in part on our ability to develop, manufacture, market and sell our BIM-IOL System and any future product candidates, while avoiding infringement and other violations of the patents and proprietary rights of third parties. There is a substantial amount of litigation and other adverse proceedings, both within and outside the United States, involving patent and other intellectual property rights in the drug delivery, medical device and medical device therapeutic delivery system industries, including patent infringement lawsuits, international trade commission (ITC)-related lawsuits that affect import of products that infringe third party patents (e.g., Section 337 of the U.S. Tariff Act of 1930), interferences, derivation, and administrative law proceedings, </w:t>
      </w:r>
      <w:r>
        <w:rPr>
          <w:rFonts w:ascii="Trade Gothic;sans-serif" w:hAnsi="Trade Gothic;sans-serif"/>
          <w:b w:val="false"/>
          <w:i/>
          <w:color w:val="000000"/>
          <w:sz w:val="19"/>
        </w:rPr>
        <w:t>inter partes</w:t>
      </w:r>
      <w:r>
        <w:rPr>
          <w:color w:val="000000"/>
        </w:rPr>
        <w:t xml:space="preserve"> </w:t>
      </w:r>
      <w:r>
        <w:rPr>
          <w:rFonts w:ascii="Trade Gothic;sans-serif" w:hAnsi="Trade Gothic;sans-serif"/>
          <w:b w:val="false"/>
          <w:color w:val="000000"/>
          <w:sz w:val="19"/>
        </w:rPr>
        <w:t xml:space="preserve">review, </w:t>
      </w:r>
      <w:r>
        <w:rPr>
          <w:rFonts w:ascii="Trade Gothic;sans-serif" w:hAnsi="Trade Gothic;sans-serif"/>
          <w:b w:val="false"/>
          <w:i/>
          <w:color w:val="000000"/>
          <w:sz w:val="19"/>
        </w:rPr>
        <w:t xml:space="preserve">ex parte </w:t>
      </w:r>
      <w:r>
        <w:rPr>
          <w:rFonts w:ascii="Trade Gothic;sans-serif" w:hAnsi="Trade Gothic;sans-serif"/>
          <w:b w:val="false"/>
          <w:color w:val="000000"/>
          <w:sz w:val="19"/>
        </w:rPr>
        <w:t xml:space="preserve">re-examinations, and post-grant review before the USPTO, as well as oppositions and similar processes in foreign jurisdictions. We may be exposed to, or threatened with, future litigation by third parties having patent or other intellectual property rights who allege that our BIM-IOL System or our other product candidates, uses and/or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0335"/>
                <wp:effectExtent l="0" t="0" r="0" b="0"/>
                <wp:wrapNone/>
                <wp:docPr id="72" name="Frame5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proprietary technologies infringe their intellectual property rights. Companies in the drug delivery and medical device industry have used intellectual property litigation to gain a competitive advantage. Our commercial success depends in part upon our ability and that of our CMOs and suppliers to manufacture, market, and sell our product candidates, if approved, and to use our proprietary technologies without infringing, misappropriating or otherwise violating the proprietary rights or intellectual property of third parties. We may in the future become party to, or be threatened with, adversarial proceedings or litigation regarding intellectual property rights with respect to our BIM-IOL System, our other product candidates and any future product candidates and technology, whether or not we are actually infringing, misappropriating or otherwise violating the rights of third parties. Numerous U.S. and foreign patents and pending patent applications, which are owned by third parties, exist in the fields in which we and our collaborators are developing product candidates. As the drug delivery and medical device industries expand and more patents are issued, and as we gain greater visibility and market exposure as a public company, the risk increases that our BIM-IOL System or our other product candidates or other business activities may be subject to claims of infringement of the patent and other proprietary rights of third parties. Third parties may assert that we are infringing their patents or employing their proprietary technology without authorization, regardless of the merit of such claims.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BIM-IOL System or our other product candidates. Regardless of when filed, we may fail to identify relevant third-party patents or patent applications, or we may incorrectly conclude that a third-party patent is invalid or not infringed by our BIM-IOL System or our other product candidates or activities. If a patent holder believes that our product candidate our BIM-IOL System infringes its patent, the patent holder may sue us even if we have received patent protection for our technology. Moreover, we may face patent infringement claims from nonpracticing entities that have no relevant product revenue and against whom our own patent portfolio may thus have no deterrent effect. If a patent infringement suit were threatened or brought against us, we could be forced to stop or delay research, development, manufacturing or sales of the product or product candidate that is the subject of the actual or threatened suit.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 candidates and business operations infringe or violate the intellectual property rights of others that include these patent trolls.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Also, there may be third-party patents or patent applications with claims to materials, drug delivery features, formulations, methods of manufacture or methods for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third parties may obtain patent rights in the future and claim that use of our technologies infringes their rights. If any third-party patents were held by a court of competent jurisdiction to cover the manufacturing process of any of our product candidates, cover important features of our product candidate methods of treating certain diseases or conditions that we are pursuing with our product candidates, our BIM-IOL System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trade secrets of others, and to the extent that our employees, consultants or contractors use intellectual property or proprietary information owned by others in their work for us, disputes may arise as to the rights in related or resulting know-how and inventions.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Parties making claims against us may obtain injunctive or other equitable relief, which could effectively block our ability to further develop and commercialize one or more of our BIM-IOL System and future product candidates. Defense of these claims, regardless of their merit, would involve substantial litigation expense and would be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0335"/>
                <wp:effectExtent l="0" t="0" r="0" b="0"/>
                <wp:wrapNone/>
                <wp:docPr id="73" name="Frame5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additional licenses from third parties to advance our research or allow commercialization of our BIM-IOL System or our other product candidates. We may fail to obtain any of these additional licenses at a reasonable cost or on reasonable terms, if at all. In that event, we would be unable to further develop and commercialize our BIM-IOL System or other product candidates, which could harm our business significantly. The acquisition or licensing of third-party intellectual property rights is a competitive area, and our competitors may pursue strategies to acquire or license third party intellectual property rights that we may consider attractive or necessary. If we are unable to successfully obtain rights to required third party intellectual property rights or maintain the existing intellectual property rights we have, we may have to abandon development of the relevant product candidates or redesign those product candidates that contain the allegedly infringing intellectual property, which could harm our business, financial condition and results of operations.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force us to cease some of our business operations, which could materially harm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provide any assurances that third-party patents do not exist which might be enforced against our BIM-IOL System or our other product candidates, resulting in either an injunction prohibiting our sales, or, with respect to our sales, an obligation on our part to pay royalties under terms of a license agreement or other forms of compensation to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During the course of any intellectual property litigation, there could be public announcements of the litigation such as commencement of a litigation, results of hearings, rulings on motions, and other interim proceedings in the litigation. If securities analysts or investors regard these announcements as negative, the perceived value of our existing products,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 Because of the substantial amount of discovery required in connection with intellectual property litigation, there is a risk that some of our confidential information could be compromised by disclosure during litigation.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become involved in lawsuits to protect or enforce our patents or other intellectual property rights, or the patents or other intellectual property rights of our licensors, which could be expensive, time consuming, and unsuccessful, and could result in a court or administrative body finding our patents to be invalid or unenforceable.</w:t>
      </w:r>
    </w:p>
    <w:p>
      <w:pPr>
        <w:pStyle w:val="TextBody"/>
        <w:bidi w:val="0"/>
        <w:spacing w:lineRule="auto" w:line="288" w:before="0" w:after="240"/>
        <w:jc w:val="left"/>
        <w:rPr/>
      </w:pPr>
      <w:r>
        <w:rPr>
          <w:rFonts w:ascii="Trade Gothic;sans-serif" w:hAnsi="Trade Gothic;sans-serif"/>
          <w:b w:val="false"/>
          <w:color w:val="000000"/>
          <w:sz w:val="19"/>
        </w:rPr>
        <w:t xml:space="preserve">Competitors may challenge, infringe or otherwise violate our co-owned licensed patents, or our other intellectual property rights. To counter challenges, infringement or unauthorized use or misappropriations, we or any future licensors may be required to file or defend legal claims against us, which can be expensive and time-consuming. In addition, in such a proceeding, a court may decide that one or more patent of ours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and/or unenforceability are commonplace. Grounds for a validity challenge could be an alleged for failure to meet any of several statutory requirements, including lack of inventiveness, obviousness, non-enablement, insufficient written description, or failure to claim patent-eligible subject matter. Grounds for an unenforceability assertion could be an allegation that someone connected with prosecution of the patent or that we withheld relevant material information from the USPTO, or made a materially misleading statement, during prosecution. Third parties may also raise similar validity claims before the USPTO in post-grant proceedings such as </w:t>
      </w:r>
      <w:r>
        <w:rPr>
          <w:rFonts w:ascii="Trade Gothic;sans-serif" w:hAnsi="Trade Gothic;sans-serif"/>
          <w:b w:val="false"/>
          <w:i/>
          <w:color w:val="000000"/>
          <w:sz w:val="19"/>
        </w:rPr>
        <w:t>ex parte</w:t>
      </w:r>
      <w:r>
        <w:rPr>
          <w:color w:val="000000"/>
        </w:rPr>
        <w:t xml:space="preserve"> </w:t>
      </w:r>
      <w:r>
        <w:rPr>
          <w:rFonts w:ascii="Trade Gothic;sans-serif" w:hAnsi="Trade Gothic;sans-serif"/>
          <w:b w:val="false"/>
          <w:color w:val="000000"/>
          <w:sz w:val="19"/>
        </w:rPr>
        <w:t xml:space="preserve">reexaminations, </w:t>
      </w:r>
      <w:r>
        <w:rPr>
          <w:rFonts w:ascii="Trade Gothic;sans-serif" w:hAnsi="Trade Gothic;sans-serif"/>
          <w:b w:val="false"/>
          <w:i/>
          <w:color w:val="000000"/>
          <w:sz w:val="19"/>
        </w:rPr>
        <w:t xml:space="preserve">inter partes </w:t>
      </w:r>
      <w:r>
        <w:rPr>
          <w:rFonts w:ascii="Trade Gothic;sans-serif" w:hAnsi="Trade Gothic;sans-serif"/>
          <w:b w:val="false"/>
          <w:color w:val="000000"/>
          <w:sz w:val="19"/>
        </w:rPr>
        <w:t xml:space="preserve">review, or post-grant review, or oppositions or similar proceedings outside the United States, in parallel with litigation or even outside the context of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0335"/>
                <wp:effectExtent l="0" t="0" r="0" b="0"/>
                <wp:wrapNone/>
                <wp:docPr id="74" name="Frame5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delays caused by the federal agencies may increase the period that we are subject to such claims. For example, administrative changes, including reduced personnel, change of personnel and budgets experienced by the Patent and Trial Appeal Board, could further delay our ability to timely challenge any such patents. The outcome following legal assertions of invalidity and unenforceability is unpredictable. In any patent infringement proceeding, there is a risk that even if the validity of such patents is upheld, the court will construe the patent’s claims narrowly or decide that we do not have the right to stop the other party from using the invention at issue on the grounds that it or any future licensors’ patent claims do not cover the invention, or decide that the other party’s use of our or any future licensors’ patented technology falls under the safe harbor to patent infringement under 35 U.S.C. §271(e)(1). An adverse outcome in a litigation or proceeding involving our co-owned or any future licensors’ patents could limit our ability to assert our or any future licensors’ patents against those parties or other competitors and may curtail or preclude our ability to exclude third parties from making, importing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certain that any of our licensors or future licensors have rights to the inventions covered by our licenses or future licenses. Our current or future licensors may have relied on third-party consultants or collaborators or on funds from third parties, such as the U.S. government, such that our licensors are not the sole and exclusive owners of the patents we in-license. If third parties have ownership rights or other rights to our co-owned licensed patents or patent applications, they may be able to license such patents or patent applications to our competitors, and our competitors could market competing products and technology. This could adversely affect our competitive position,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certain that any of our licensors or future licensors are not violating rights of a third party. We cannot be certain that there is no invalidating prior art to our patents or licensed patents, of which we, our licensors, and the patent examiner were unaware during prosecution. For any patents and patent applications that we may license from third parties, we may have limited or no right to participate in the defense of such licensed patents against challenge by a third party. If a defendant were to prevail on a legal assertion of invalidity or unenforceability, we would lose at least part, and perhaps all, of the patent protection on our current or future product candidates. Such a loss of patent protection could harm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prevent, alone or with our licensors or licensees, misappropriation of our intellectual property rights, particularly in countries of where we have or have not filed our patent applications where the laws may not protect those rights as fully as in the United States. Our business could be harmed if in litigation, the prevailing third-party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competition in our industry is intense, competitors may infringe or otherwise violate our co-owned licensed patents or other intellectual property. To counter infringement or unauthorized use, we may be required to file a lawsuit, which can be expensive and time consuming, and could distract our technical and management personnel from their normal responsibilities. Any claims we assert against perceived infringers could provoke these parties to assert counterclaims or file administrative actions against us alleging that we infringe their patents or that our patents are invalid. In addition, in a patent infringement proceeding, a court may decide that our patent is invalid or unenforceable, in whole or in part, construe the patent’s claims narrowly or refuse to stop the other party from using the technology at issue on the grounds that our patents do not cover the technology in question. An adverse result in any litigation proceeding or administrative action could put one or more of our patents at risk of being invalidated or interpreted narrowly. Our competitors may assert invalidity on various grounds, including lack of novelty, obviousness or that we were not the first applicant to file a patent application related to our product. We may elect to enter into license agreements in order to settle patent infringement claims or to resolve disputes before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commencement of such a proceeding, results of hearings, motions or other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0335"/>
                <wp:effectExtent l="0" t="0" r="0" b="0"/>
                <wp:wrapNone/>
                <wp:docPr id="75" name="Frame6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proceedings or developments. If securities analysts or investors perceive these results to be negative, it could have an adverse effect on the price of our common stock. Moreover, we cannot be assured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of the expense and uncertainty of litigation, we may conclude that even if a third party is infringing our patents, any patents that may be issued as a result of our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in relation to the third-party activities. Such actions, while prudent, may impact our ability to enforce our patents or recover damages in future proceedings or litigations.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be able to protect our intellectual property rights in the United States and foreign jurisdictions which we have filed for intellectual property protection, which could impair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Patents are of national or regional effect, and filing, prosecuting, and defending patents covering our BIM-IOL System and any future product candidate throughout the world would be prohibitively expensive; therefore, we have pursued patent coverage in the United States, and in a limited number of foreign jurisdictions. In addition, the laws of some foreign countries do not protect intellectual property rights to the same extent as federal and state laws in the United States, even in jurisdictions where we are pursuing patent protection. Consequently, we may not be able to prevent third parties from practicing our or any future owned or licensed inventions in all countries outside the United States, even in jurisdictions where we pursue patent protection, or from selling or importing products made using our or any future inventions in and into the United States or foreign jurisdictions. Competitors may use our or any future technologies in jurisdictions where we have not obtained patent protection to develop their own products and, further, may export otherwise infringing products to territories where we may have or are seeking to obtain patent protection, but where patent enforcement is not as strong as that in the United States. These third-party competitors’ products may compete with our product candidates in such jurisdictions and take away our market share where we do not have any issued or licensed patents and any future patent claims, and other intellectual property rights may not be effective or sufficient to prevent them from manufacturing.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manufacturing of our product or future products, or marketing of competing products in violation of our intellectual property and proprietary rights generally. We currently have no patents or patent applications filed or pending in developing countries. In certain developing countries, companies could manufacture, sell and/or use our BIM-IOL System or future product without infringement. In addition, certain jurisdictions do not protect to the same extent or at all inventions that constitute methods of treatment.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the jurisdictions of where we seek patent protection may be inadequate to obtain a significant commercial advantage for the product candidates that we develop and market. Furthermore, while we intend to protect our intellectual property rights in our selected significant markets, we have limited resources and cannot ensure that we will be able to initiate or maintain similar efforts in all jurisdictions in which we may wish to market our BIM-IOL System or our other product candidates. Accordingly, our efforts to protect our intellectual property rights in such countries may be inadequate, which may have an adverse effect on our ability to successfully commercialize our BIM-IOL System or any of our future product candidates in all of our selected significant foreign markets.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Furthermore, the laws of some foreign countries do not protect proprietary rights to the same extent or in the same manner as the laws within the United States. We may need to share our trade secrets and proprietary know-how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0335"/>
                <wp:effectExtent l="0" t="0" r="0" b="0"/>
                <wp:wrapNone/>
                <wp:docPr id="76" name="Frame6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in the foreign jurisdictions of which we seek patent protection and intend to market our BIM-IOL System and other future products. 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maintenance of issued patents in Russia. These actions could result in abandonment or lapse of our future Russian patents or patent applications, resulting in partial or complete loss of patent rights in Russia.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products and our patents or other IP rights may not be effective or sufficient to prevent them from competing.</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protect the confidentiality of our trade secrets, our business and competitive position would be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to the protection afforded by patents, we may seek to rely on trade secret protection to protect proprietary know-how that is not patentable, processes for which patents are difficult to enforce, processes that are better protected by trade secret than a limited patent term, and any other elements of our product discovery and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to our proprietary know-how, information, or technology to enter into confidentiality agreements and we have confidential agreements with respect to our trade secrets,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As a result, we may encounter significant problems in protecting and defending our intellectual property both in the United States and in foreign jurisdictions where we seek to maintain protection of our trade secrets.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 Claims that we have misappropriated the confidential information or trade secrets of third parties could have a similar negative impact on our business. Intellectual property litigation may lead to unfavorable publicity that harms our reputation and causes the market price of our common shares to decline.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Because we expect to collaborate with third parties on the continuing development of the BIM-IOL System and any future product candidates, we must, at times, share trade secrets with them. We also expect to conduct research and development (R&amp;D) programs that may require us to share trade secrets under the terms of our partnerships or agreements with CROs. We seek to protect our proprietary technology in part by entering into agreements containing confidentiality and use restrictions and obligations, including material transfer agreements, consulting agreements, manufacturing and supply agreements, confidentiality agreements or other similar agreements with our advisors, employees, contractors, CMOs, CROs, other service providers and consultants prior to disclosing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0335"/>
                <wp:effectExtent l="0" t="0" r="0" b="0"/>
                <wp:wrapNone/>
                <wp:docPr id="77" name="Frame6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information. These agreements typically limit the rights of the third parties to use or disclose our confidential information, including our trade secrets. Despite the contractual provisions employed by us when working with third parties, the need to share trade secrets and other confidential information increases the risk that such trade secrets become known to unauthorized personnel or by our competitors, are inadvertently incorporated into the technology of others, or are disclosed or used in violation of these contractual agreements. Given that our proprietary position is based, in part, on our know-how and trade secrets, a competitor’s discovery of our trade secrets or other unauthorized use or disclosure could impair our competitive position and may have an adverse effect on our business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these agreements typically restrict the ability of our advisors, employees, third-party contractors, CMOs, CROs, other service providers and consultants to publish data potentially relating to our trade secrets, because our agreements contain certain limited publication rights. Despite our efforts to protect our trade secrets, our trade secrets and other know-how may get published by advisors, employees, third-party contractors, CMOs, CROs, other service providers or consultants.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could impair our competitive position and have an adverse impact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to investigate and pursue action against this unauthorized disclosure, and the outcome would be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product candidates, including confidential aspects of methods of manufacturing, assembly and related processes, are based on unpatented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claims that our employees, consultants or independent contractors have wrongfully used or disclosed confidential information of their former employers or other third parties or claims asserting ownership of what we regard as our own intellectual property.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employ individuals who were previously employed at other biotechnology, pharmaceutical, medical technology and ophthalmology companies, or at research institutions, including our competitors or potential competitors. Although we take steps to ensure that our employees, consultants and advisors comply with any ongoing obligations to former employers and other third-parties, and do not use the proprietary information or know-how of third parties, including former employers, in their work for us, we may be subject to claims that these individuals have violated their contractual obligations with former employers or other third party and/or improperly retained proprietary information of a former employer, or such individuals or we have used or disclosed intellectual property, including trade secrets or other proprietary information, of any such individual’s former employer. We may be subject to claims that we or our employees, consultants or independent contractors have inadvertently or otherwise used or disclosed confidential information of our employees’ former employers or other third parties or used this information in their employment or other engagement with us. Litigation may be necessary to defend against these claims. For example, we are currently a defendant in a litigation filed by one of our competitors, Glaukos Corporation, in the United States District Court for the Central District of California alleging, among other claims, that we and one of our employees misappropriated Glaukos’ trade secrets and confidential information. If we fail in defending any such claims, in addition to paying monetary damages, we may lose valuable intellectual property rights or be enjoined from using or relying on certain intellectual property. An inability to incorporate such technologies or features would harm our business and may prevent us from successfully commercializing our technologies, our BIM-IOL System or our other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0335"/>
                <wp:effectExtent l="0" t="0" r="0" b="0"/>
                <wp:wrapNone/>
                <wp:docPr id="78" name="Frame6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59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employees, consultants or independent contractors may wrongfully use or disclose confidential information of ours to the public or third-party competitor and we could fail to protect potential intellectual property rights and other important information identified in the confidential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seek to protect our confidential information by ensuring that our agreements with our employees, collaborators, and other third parties with whom we do business include provisions requiring non-disclosure of confidential information, our employees, collaborators, and other third parties with whom we do business could disclose our confidential information to the public or third-party competitors. Disclosure of our confidential information related to the SpyGlass Platform, the BIM-IOL System, or any other current or future product candidates could harm our business. Litigation or other courses of action may be needed to enforce our contract against our employees, former employees, collaborators, or other third parties with whom we do business. This would divert significant resources and funding to enforce such an action. These disclosures of confidential information could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claims that former employers, consultants or other third parties have an ownership interest in our patents or patent applications as an inventor or co-inventor.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 candidates, services, or technologies.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BIM-IOL System or our other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There is no guarantee of success in defending these claims, and if we fail in defending any such claims, in addition to paying monetary damages, we may lose valuable intellectual property rights, such as exclusive ownership of, or right to use, valuable intellectual property. Such challenges may also result in our inability to develop, manufacture or commercialize our technologies, our BIM-IOL System and our other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Even if we are successful, litigation could result in substantial cost and be a distraction to our management and other employees. Any of the foregoing could adversely affect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trademarks, future trademarks and trade names are not adequately protected, then we may not be able to build brand recognition in our markets of interest and our business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intend to use registered or unregistered trademarks or trade names to brand and market ourselves and our product candidates. Our trademarks or trade names may be challenged, infringed, circumvented or declared generic or determined to be infringing on other marks. During trademark registration proceedings, we may receive rejections of our applications by the USPTO or in other foreign jurisdictions of which we seek trademark protection.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0335"/>
                <wp:effectExtent l="0" t="0" r="0" b="0"/>
                <wp:wrapNone/>
                <wp:docPr id="79" name="Frame6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any proprietary name we propose to use with our current or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effort to identify a suitable proprietary product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Intellectual property rights do not necessarily address all potential threats to our competitive advantage.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formulations and compositions of therapeutic agents used in our BIM-IOL System and any future product candidates may be old, unable to obtain patent protection, may be in the public domain and we may not be able to preclude others from using active ingredients of our BIM-IOL System and any future product candidates in third-party ophthalmic therapies;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be able to make formulations or compositions that are the same as or similar to our current and future active ingredients of use in our BIM-IOL System and any future product candidates, but that are not covered by the pending patent applications or patents that we co-own or any pending patent applications or patents that we may in-license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be able to make product that is similar to our current and future product candidates we intend to commercialize that is not covered by the patents that we exclusively licensed and have the right to enforce;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any of our future licensors or collaborators might not have been the first to make the inventions covered by the patents or pending patent applications that we co-own or may in-license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or any of our future licensor might not have been the first to file patent applications covering certain of our or their inventions;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independently develop similar or alternative technologies or duplicate any of our technologies without infringing or otherwise violating our owned intellectual property rights or any patent applications that we may 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it is possible that our pending patent applications or those that we may own or license in the future will not result in a patent;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that we either co-own or that we may own or license in the future may be revoked, modified or held valid or unenforceable, as a result of legal challenges by our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that we either co-own or that we may own or license in the future may not provide us with any competitive advantages;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have access to the same intellectual property rights licensed to us in the future on a non-exclusive basis;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competitors might conduct research and development activities in the United States and other countries that we seek patent protection for our inventions,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not develop additional proprietary technologies that are patentable;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cannot predict the scope of protection of any patent based on our or any future licensors’ patent applications, including whether the patent applications that we co-own, or, in the future, in-license will result in a patent with claims directed to our BIM-IOL System or our other product candidates or uses thereof in the United States or in other foreign countries of which we seek patent protection;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claims of any patent based on our patent applications may not provide protection against competitors or any competitive advantages, or may be challenged by third parties;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if enforced, a court may not hold that our patents are valid, enforceable or infringed;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need to initiate litigation or administrative proceedings to enforce and/or defend our patent rights which will be costly whether we win or lose;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0335"/>
                <wp:effectExtent l="0" t="0" r="0" b="0"/>
                <wp:wrapNone/>
                <wp:docPr id="80" name="Frame6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fail to adequately protect and police our trademarks and trade secrets;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patents of others may have an adverse effect on our business, including if others obtain patents claiming subject matter similar to or an improvement on inventions covered by our patent applications.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comply with our obligations under any license, collaboration or other agreements, such agreements may be terminated, we may be required to pay damages, and we could lose intellectual property rights that are necessary for developing and protecting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rely on certain intellectual property rights licensed from third parties for the development and commercialization of our BIM-IOL System and our other product candidates, including under the License Agreement described above. We may in the future also need to obtain additional licenses or otherwise acquire development or commercialization rights to current and future product candidates or data from third parties. If any future licensors fail to prosecute, maintain, enforce, and defend such patents, or lose rights to those patents, the rights we have licensed may be reduced or eliminated, and our right to develop and commercialize future product candidates that may be subject of such licensed rights could be adversely affected. In spite of our efforts, any future licensors might conclude that we are in material breach of obligations under our license agreements.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 candidates that are covered by the licensed technology or enable a competitor to gain access to the licensed technology. If such in-licenses are terminated, or if the underlying patents fail to provide the intended exclusivity, our competitors will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Any of these events could adversely affect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Disputes may arise between us and our licensors regarding intellectual property subject to a license agreement,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of rights granted under the license agreement and other interpretation-related issues;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financial or other obligations under the license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whether and the extent to which our technology and processes infringe on intellectual property of the licensor that is not subject to or covered by the licensing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right to sublicense patents and other rights under our grant of manufacture and sales and collaborative development relationships to third party sublicensees;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sublicensees rights to further sublicense rights under our license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diligence obligations with respect to the use of the licensed technology in relation to our development and commercialization of our BIM-IOL System and future product candidates, and what activities satisfy those diligence obligations;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right to transfer or assign the license to a third party;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inventorship or ownership of inventions and know-how resulting from the joint creation or use of intellectual property by any of our licensors and us and our partners;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priority of invention of patented technology.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disputes over intellectual property that we license prevent or impair our ability to maintain our licensing arrangements on acceptable terms, we may not be able to successfully develop and commercialize the affected product candidates, which would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certain of our current or future agreements with third parties may limit or delay our ability to consummate certain transactions, may impact the value of those transactions, or may limit our ability to pursue certain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Further, we or our current or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0335"/>
                <wp:effectExtent l="0" t="0" r="0" b="0"/>
                <wp:wrapNone/>
                <wp:docPr id="81" name="Frame6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respect to proper priority claims, inventorship listings, ownership, claim scope, timely filed responses, timely paid fees, timely filed terminal disclaimers and other filings, submissions of relevant references, or timely requests for patent term adjustments. If our current or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a patent or a valid or enforceable patent if challenged. Any of these outcomes could impair our ability to prevent competition from third parties, which may have an adverse impact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even where we have the right to control patent prosecution of patents and patent applications under a license, we may still be adversely affected or prejudiced by actions or inactions of our predecessors or licensors and their counsel that took place prior to us assuming control over patent prosecution.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acquired technologies and current or future licensed technology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 Results of future research covered by or relevant to our co-owned licensed patent rights could be disclosed in a public forum prior to our being able to file a patent application to protect any new discoveries resulting from such research and could result in the inability to protect these inventions in the United States or desired foreign jurisdiction.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limited in our ability to utilize acquired technologies or current or future licensed technologies, or if we lose our rights to critical acquired or in-licensed technology, we may be unable to successfully develop, out-license, market and sell our product candidates, which could prevent or delay new product introductions. Our business strategy depends on the successful development of acquired technologies, and current or future licensed technology, into commercial products. Therefore, any limitations on our ability to utilize these technologies may impair our ability to develop, out-license or market and sell any product candidate.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Any collaboration or partnership arrangements that we may enter into in the future may not be successful, which could adversely affect our ability to develop and commercialize our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have significant discretion in determining the efforts and resources that they will apply to collaborations;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could independently develop, or develop with third parties, products that compete directly or indirectly with our current and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could grant exclusive rights to our collaborators that would prevent us from collaborating with others;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disputes may arise between us and a collaborator that cause delay or termination of the research, development or commercialization of our current or future product candidates or that results in costly litigation or arbitration that diverts management attention and resources;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collaborations may be terminated, and, if terminated, may result in a need for additional capital to pursue further development or commercialization of the applicable current or future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0335"/>
                <wp:effectExtent l="0" t="0" r="0" b="0"/>
                <wp:wrapNone/>
                <wp:docPr id="82" name="Frame6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collaborator’s sales and marketing activities or other operations may not be in compliance with applicable laws resulting in civil or criminal proceedings.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be able to license or acquire additional or necessary intellectual property rights or technology from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have rights to intellectual property covering our BIM-IOL System and our other product candidates. Because our development programs may in the future require the use of additional proprietary rights held by third parties, the growth of our business may depend in part on our ability to acquire, in-license, or use these third-party proprietary rights. Further, other parties, including our competitors, may have patents and have filed and are likely filing patent applications potentially relevant to our business. In order to avoid infringing these patents, we may find it necessary or prudent to obtain licenses to such patents from such parties. The licensing or acquisition of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No assurance can be given that we will be successful in licensing any additional rights or technologies from third parties.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product candidates and could increase the cost, and extend the timelines associated with our development, of such other product candidates, and we may have to abandon development of the relevant program or product candidate. Any of the foregoing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licensed patents and patent applications may have been or may be in the future supported through the use of U.S. government funding awarded by the National Institute of Health or other federal agency or the FDA Office of Orphan Products Development and the Army Medical Research and Development Command. We may have licensed, or may acquire or license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covered by the government funding for any governmental purpose. In addition, the U.S. government has the right, under certain limited circumstances, to require a patentee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U.S. government also has the right to take title to these inventions if the grant recipient or associated institution fails to disclose the invention to the government, fails to reference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0335"/>
                <wp:effectExtent l="0" t="0" r="0" b="0"/>
                <wp:wrapNone/>
                <wp:docPr id="83" name="Frame6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government funding in a patent application or patent,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The U.S. government may require that the inventions be solely produced in the United States or impute substantial tariffs if manufactured in a foreign jurisdiction.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Because of the expense and uncertainty of litigation, we may not be in a position to enforce our intellectual property rights against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Development, Regulatory Approval and Commercialization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regulatory approval processes of the FDA and other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marketing application for our product candidates, the FDA and other comparable foreign regulatory authorities may approve our product candidates for a more limited indication or a narrower patient population than we originally requested. We have not obtained regulatory approval for any product candidate, and it is possible that none of our existing product candidates or any product candidates we may seek to develop in the future will ever obtain regulatory approval. Of the large number of drugs in development, only a small percentage successfully complete the applicable regulatory approval processes and are commercialized.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available nonclinical or clinical data support the safety or efficacy of our product candidates, such data may not be sufficient to obtain approval from the FDA and other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0335"/>
                <wp:effectExtent l="0" t="0" r="0" b="0"/>
                <wp:wrapNone/>
                <wp:docPr id="84" name="Frame6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Applications for our product candidates may be delayed or limited or could fail to receive regulatory approval for many reasons, including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disagree with the design, implementation or results of our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determine that our product candidates are not safe and effective for their intended uses, only moderately effective or have undesirable or unintended side effects, toxicities or other characteristics that preclude our obtaining marketing approval or prevent or limit commercial use;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population studied in the clinical trial may not be sufficiently broad or representative to assure efficacy and safety in the full patient population for which we seek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not accept clinical data from trials that are conducted at clinical facilities or in countries where the standard of care is potentially different from that of their own country;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disagree with our interpretation of data from preclinical studies or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data collected from clinical trials of our product candidates may not be sufficient to support a submission to obtain regulatory approval in the United States or elsewhere;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unable to demonstrate to the FDA or other comparable foreign regulatory authorities that a product candidate’s risk-benefit ratio for its proposed indication is acceptable;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approval policies or regulations of the FDA or other comparable foreign regulatory authorities may significantly change in a manner rendering our clinical data insufficient for approval;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not accept a submission due to, among other reasons, the content or formatting of the submission.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With respect to foreign markets, approval procedures vary among countries and, in addition to the foregoing risks, may involve additional product testing, administrative review periods and agreements with pricing authorities.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clinical trials of our product candidates may not demonstrate safety and efficacy to the satisfaction of the FDA or other comparable foreign regulatory authorities or otherwise produce positive results.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 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comparable foreign regulatory authorities disagreeing as to the design or implementation of our 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0335"/>
                <wp:effectExtent l="0" t="0" r="0" b="0"/>
                <wp:wrapNone/>
                <wp:docPr id="85" name="Frame7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regulatory authorizations to commence a trial or reaching a consensus with regulatory authorities on trial design;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failure or delay in reaching an agreement with CROs and clinical trial sites, the terms of which can be subject to extensive negotiation and may vary significantly among different CROs and trial sites;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approval from one or more institutional review boards (IRBs);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IRBs refusing to approve, suspending or terminating the trial at an investigational site, precluding enrollment of additional subjects, or withdrawing their approval of the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to clinical trial protocol;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clinical sites deviating from trial protocol or dropping out of a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sufficient quantities of product candidate or obtaining sufficient quantities of combination therapies for use in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failing to enroll or remain in our trial at the rate we expect, or failing to return for post- treatment follow-up;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choosing an alternative treatment for the indication for which we are developing our product candidates, or participating in competing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lack of adequate funding to continue the clinical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experiencing severe or unexpected treatment-related AEs;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occurrence of serious adverse events (SAEs) in trials of the same class of agents conducted by other companies;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selection of clinical end points that require prolonged periods of clinical observation or analysis of the resulting data;</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changes to our manufacturing process that may be necessary or desired;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contractors not performing data collection or analysis in a timely or accurate manner; or</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Clinical trials must be conducted in accordance with the FDA’s and other applicable regulatory authorities’ legal requirements,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0335"/>
                <wp:effectExtent l="0" t="0" r="0" b="0"/>
                <wp:wrapNone/>
                <wp:docPr id="86" name="Frame7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Enrollment and/or retention of patients in clinical trials is an expensive and time-consuming process subject to various external factors beyond our control that may cause delays in the clinical development of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timely completion of clinical trials in accordance with their protocols depends, among other things, on our ability to enroll a sufficient number of eligible patients who remain in the trial until its conclusion.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Patient enrollment is a significant factor in the timing of clinical trials. We completed enrollment in our Phase 1/2 multi-center, randomized clinical trial in November 2024 and subsequently initiated and are currently enrolling two registrational Phase 3 clinical trials. Any difficulties we experience relating to enrollment in any clinical trial could delay the clinical development of our product candidates and our planned timeline to submit an NDA to the FDA.</w:t>
      </w:r>
    </w:p>
    <w:p>
      <w:pPr>
        <w:pStyle w:val="TextBody"/>
        <w:bidi w:val="0"/>
        <w:spacing w:lineRule="auto" w:line="288" w:before="0" w:after="240"/>
        <w:jc w:val="left"/>
        <w:rPr/>
      </w:pPr>
      <w:r>
        <w:rPr>
          <w:rFonts w:ascii="Trade Gothic;sans-serif" w:hAnsi="Trade Gothic;sans-serif"/>
          <w:b w:val="false"/>
          <w:color w:val="000000"/>
          <w:sz w:val="19"/>
        </w:rPr>
        <w:t>We may experience difficulty in patient enrollment in our clinical trials for a number of reasons. 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w:t>
      </w:r>
      <w:r>
        <w:rPr>
          <w:color w:val="000000"/>
        </w:rPr>
        <w:t xml:space="preserve"> </w:t>
      </w:r>
      <w:r>
        <w:rPr>
          <w:rFonts w:ascii="Trade Gothic;sans-serif" w:hAnsi="Trade Gothic;sans-serif"/>
          <w:b w:val="false"/>
          <w:color w:val="000000"/>
          <w:sz w:val="19"/>
        </w:rPr>
        <w:t>candidates. Patient enrollment depends on many other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size and nature of the patient population required for analysis of the trial’s endpoints;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availability and efficacy of approved drugs and other competing therapeutic candidates for the condition under investigation;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patient eligibility and exclusion criteria for the trial in question as defined in the protocol;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recruit clinical trial investigators with the appropriate competencies and experience;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design of the clinical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perceived risks and benefits of the product candidate under study;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physicians’, surgeons’ and participants’ perceptions as to the potential advantages of the product candidate being studied in relation to other available therapies, including any new products that may be approved for the indications we are investigating;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participant referral practices of physicians and surgeons;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ability to monitor participants adequately during and after treatment;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proximity and availability of clinical trial sites for prospective trial patients;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continued enrollment of prospective patients by clinical trial sites;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0335"/>
                <wp:effectExtent l="0" t="0" r="0" b="0"/>
                <wp:wrapNone/>
                <wp:docPr id="87" name="Frame7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risk that patients enrolled in clinical trials will drop out of the trials before completion.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hindering their clinical development, and jeopardize our ability to obtain marketing approval for the sale of our product candidates. Furthermore, we expect to rely on CROs and clinical trial sites to ensure the proper and timely conduct of our clinical trials and we will have limited influence over their performance. Even if we are able to enroll a sufficient number of patients for our clinical trials, we may have difficulty maintaining enrollment of such patients in our clinical trials.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Patients in our ongoing and planned clinical trials may in the future suffer SAEs or other side effects not observed in our preclinical studies or previous clinical trials. If SAEs or other side effects are observed in any of our ongoing or planned clinical trials, we may have difficulty recruiting patients to the clinical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AEs include: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suspend marketing of a product, or we may decide to remove such product from the marketplace;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authorities may withdraw or change their approvals of a product;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create a medication guide outlining the risks of a product for patients, or to conduct post-marketing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change the way a product is administered;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could be subject to fines, injunctions, or the imposition of criminal or civil penalties, or be sued and held liable for harm caused to subjects or patients;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product may become less competitive, and our reputation may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From time to time, we may publicly disclose interim, preliminary or top-line data from our preclinical studies and clinical trials. Interim data from clinical trials that we may complete are subject to the risk that one or more of the clinical outcomes may materially change as patient enrollment continues and more patient data become available or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0335"/>
                <wp:effectExtent l="0" t="0" r="0" b="0"/>
                <wp:wrapNone/>
                <wp:docPr id="88" name="Frame7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69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patients from our clinical trials continue other treatments for their condition. Preliminary or top-line data also remain subject to FDA audit and verification procedures that may result in the final data being materially different from the preliminary data we previously published. As a result, interim, preliminary and top-line data should be viewed with caution until the final data are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have a material adverse effect on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Further, disclosure of interim, top-line or preliminary data by us or by our competitors could result in volatility in the price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the FDA does not conclude that a product candidate satisfies the requirements for the Section 505(b)(2) regulatory approval pathway, or if the requirements under Section 505(b)(2) are not as we expect, the approval pathway for our product candidates in this pathway will likely take significantly longer, cost significantly more and entail significantly greater complications and risks than anticipated, and in either case may not be successful.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that certain of our product candidates, including our BIM-IOL System will be regulated under the drug provisions of the FDCA, enabling us to submit NDAs for approval of such product candidates in the United States.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 Section 505(b)(2), if applicable to us under the FDCA, would allow an NDA we submit to the FDA to rely in part on data in the public domain or on the FDA’s prior conclusions regarding the safety and effectiveness of approved compounds, which could expedite the development program for our product candidates by potentially decreasing the amount of nonclinical and/or clinical data that we would need to generate in order to obtain FDA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FDA does not allow us to pursue the Section 505(b)(2) regulatory pathway for a product candidate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or that such competitor would not obtain regulatory exclusivities from the FDA that could delay potential approval of our product.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0335"/>
                <wp:effectExtent l="0" t="0" r="0" b="0"/>
                <wp:wrapNone/>
                <wp:docPr id="89" name="Frame7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able to utilize the Section 505(b)(2) regulatory pathway, there is no guarantee this pathway will ultimately streamline the development of our product candidates or result in an approval on any timeline.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Additional time may be required to obtain regulatory approval for our product candidates because they are combination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developing our product candidates, including the BIM-IOL System, as drug-led, drug-device combination products. We anticipate that, if successfully developed, our product candidates would be regulated as combination products by the FDA and other regulatory authorities. Combination products require coordination within the FDA and similar foreign regulatory agencies for review of the drug and device components. For example, we expect that the FDA’s review of a marketing application for the BIM-IOL System may include the participation of both the FDA’s Center for Drug Evaluation and Research and the FDA’s Center for Devices and Radiological Health. Although the FDA and similar foreign regulatory agencies have systems in place for the review and approval of drug-led combination products, we may experience delays in the development and commercialization of our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drug component application,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 In addition, to date, the FDA has not requested a separate medical device authorization submission for our IOL and proprietary drug pads. However, the FDA may request a separate medical device submission for the BIM-IOL System in the future or other future product candidates, which could significantly delay the development and commercialization of our combination product candidates.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Changes in methods of product candidate manufacturing or formulation may result in additional costs or delay.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pricing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the pricing of a prescription drug candidate is subject to regulatory approval before it can be sold in that jurisdiction. In some cases, the price that we intend to charge for our products, if approved, is also subject to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if approved,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0335"/>
                <wp:effectExtent l="0" t="0" r="0" b="0"/>
                <wp:wrapNone/>
                <wp:docPr id="90" name="Frame7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have conducted, are currently conducting, and may in the future conduct, clinical trials for current or future product candidates outside the United States, and the FDA and comparable foreign regulatory authorities may not accept data from such trials.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conducted, are currently conducting, and may in the future conduct, clinical trials outside the United States. We expect to continue to conduct trials internationally in the future. The acceptance of data from clinical trials conducted outside the United States or another jurisdiction by the FDA or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Even if we receive regulatory approval of our product candidates, we will be subject to ongoing regulatory obligations and continued regulatory oversight,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obtain any regulatory approval for one or more of our product candidates, such product candidates will be subject to ongoing regulatory requirements applicable to manufacturing, labeling, packaging, storage, advertising, promoting, sampling, record-keeping and submission of safety or other post-market information, among other things. Any regulatory approvals that we receive for our product candidates will require surveillance to monitor the safety and efficacy of the product candidate, as well as ongoing compliance with cGMP and GCPs for any clinical trials. The FDA may also require a REMS, limitations on the approved indicated uses for which the drug may be marketed or to the conditions of approval, or requirements that we conduct potentially costly post-market testing and surveillance studies, including post-marketing clinical trials and surveillance to monitor the quality, safety and efficacy of the drug. An unsuccessful post-marketing study or failure to complete such a study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drug manufacturers are subject to payment of user fees and continual review and periodic inspections by the FDA and other regulatory authorities for compliance with cGMP requirements and adherence to commitments made in the NDA or foreign marketing application. If we, the FDA or a comparable foreign regulatory authority, discover previously unknown problems with our product candidates,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Failure to comply with applicable regulatory requirements following approval of any product candidates, may result in, among other things: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restrictions on the marketing or manufacturing of our product candidates, withdrawal of the product from the market or voluntary or mandatory product recalls;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delays and supply disruptions where regulatory inspections identify observations of noncompliance requiring remediation;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revisions to the labeling, including limitation on approved uses or the addition of additional warnings, contraindications or other safety information, including boxed warnings;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0335"/>
                <wp:effectExtent l="0" t="0" r="0" b="0"/>
                <wp:wrapNone/>
                <wp:docPr id="91" name="Frame7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imposition of a REMS, which may include distribution or use restrictions;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requirements to conduct additional post-market clinical trials to assess the safety of the product;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suspension or withdrawal of regulatory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issuance of fines, untitled letters, warning letters or holds on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refusal by the FDA to approve pending applications or supplements to approved applications filed by us or suspension or revocation of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product seizure or detention, or refusal to permit the import or export of our product candidates;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injunctions or the imposition of civil or criminal penalties.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we may be subject to enforcement action,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FDA and other regulatory agencies actively enforce the laws and regulations prohibiting the promotion of off-label uses.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approved products will be narrowly limited to those indications that are specifically approved by the FDA.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and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Since we use the same drug delivery technology for all of our product candidates, if any of our product candidates demonstrates unanticipated biocompatibility, usability, performance or safety issues in a clinical or nonclinical study, our entire pipeline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All of our current product candidates utilize the same sustained release drug delivery technology, which comprise non-bioerodible drug pads that are designed to deliver the drug into the eye without breaking down or changing their structure or shape. While our lead product candidate, the BIM-IOL System, has been well tolerated in clinical trials to date, patients may in the future experience different or more severe AEs. Any failure of a product candidate, or a component thereof, to demonstrate adequate biocompatibility, usability, performance or safety could adversely affect the development, approval, or commercialization of any other product candidate utilizing the same or similar technology, including a suspension or delay of all ongoing development for future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0335"/>
                <wp:effectExtent l="0" t="0" r="0" b="0"/>
                <wp:wrapNone/>
                <wp:docPr id="92" name="Frame7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Any product candidates we develop may become subject to unfavorable third-party coverage and reimbursement policies, as well as pricing regulations.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any of our product candidates that receive marketing approval will depend substantially, both in the United States and internationally, on the extent to which the costs of our product candidates will be covered and reimbursed by government and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There is significant uncertainty related to government and third-party payor coverage and reimbursement of newly approved products. In the United States, for example, the Centers for Medicare &amp; Medicaid Services (CMS), an agency within the U.S. Department of Health and Human Services (HHS), determines whether and to what extent a new product will be covered and reimbursed under Medicare.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if approved, to each third-party payor separately, with no assurance that coverage and adequate reimbursement will be applied consistently or obtained in the first instance.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anticipate that third-party payors will cover and reimburse providers for the bimatoprost delivered using the BIM-IOL System, if approved, similar to other physician-administered drugs. J-Codes are codes maintained by CMS, which are a component of the Healthcare Common Procedure Coding System and are typically used to report injectable drugs that ordinarily cannot be self-administered. We do not have a specific J-Code for any of our product candidates. If our product candidates are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physician-administered drugs. Because miscellaneous J-Codes may be used for a wide variety of products, health plans may have more difficulty determining the actual product used and billed for the patient. These claims must often be submitted with additional information and manually processed, which can create delays in claims processing times as well as increasing the likelihood for claim denials and claim errors.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since our drug delivery technology is implanted into the eye via an existing procedure (cataract surgery) we believe that physicians will be able to use the existing Category I Current Procedural Terminology (CPT) codes without needing to establish a new procedure code. The CPT Editorial Panel, appointed by the American Medical Association (AMA) Board of Trustees, is responsible for maintaining and updating the CPT code set. We may apply for a new add-on Category III CPT code for the loading, implantation and position of the Drug Pad-IOL System. Category III codes are a set of temporary codes maintained by the AMA for emerging technology, services and procedures. Payment for these services or procedures are based on the coverage policies of individual payors, including private insurers and government-funded programs.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candidates.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0335"/>
                <wp:effectExtent l="0" t="0" r="0" b="0"/>
                <wp:wrapNone/>
                <wp:docPr id="93" name="Frame7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if approved, may be reduced compared with the United States and may be insufficient to generate commercially reasonable revenue and profits. If we are unable to establish or sustain coverage and adequate reimbursement for any future product candidates from government and third-party payors, the adoption of those products and sales revenue will be adversely affected, which, in turn, could adversely affect the ability to market or sell those product candidates, if approved. Coverage policies and government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Disruptions at the FDA, the Securities and Exchange Commission (the SEC) and other government agencies caused by funding shortages, global health concerns, staffing limitations or otherwise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face difficulties from changes to current regulations and future legislation.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we may be subject to enforcement action, and we may not achieve or sustain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the United States,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(ACA), was enacted in 2010. The ACA contains a number of provisions, including those governing enrollments in federal healthcare programs,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0335"/>
                <wp:effectExtent l="0" t="0" r="0" b="0"/>
                <wp:wrapNone/>
                <wp:docPr id="94" name="Frame7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changes and fraud and abuse measures, all of which will impact existing government healthcare programs and will result in the development of new programs. Since its enactment, there have been judicial, executive and Congressional challenges to certain aspects of the ACA. In June 2021, the U.S. Supreme Court dismissed the most recent judicial challenge to the ACA without specifically ruling on the constitutionality of the ACA. Thus, the ACA remains in force in its current form.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with the exception of a temporary suspension from May 1, 2020, through March 31, 2021, unless additional Congressional action is taken. Additionally, the American Taxpayer Relief Act of 2012, among other things, further reduced Medicare payments to several providers, including hospitals, and increased the statute of limitations period for the government to recover overpayments to providers from three to five years. The Medicare Access and CHIP Reauthorization Act of 2015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set a price that we believe is fair for our products;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our ability to generate revenue and achieve or maintain profitability; and </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availability of capital.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HHS has and will continue to issue and update guidance as these programs are implemented, although the Medicare drug price negotiation program is currently subject to legal challenges. Various industry stakeholders, including certain pharmaceutical companies and the Pharmaceutical Research and Manufacturers of America, have initiated lawsuits against the federal government asserting that the price negotiation provisions of the IRA are unconstitutional.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0335"/>
                <wp:effectExtent l="0" t="0" r="0" b="0"/>
                <wp:wrapNone/>
                <wp:docPr id="95" name="Frame8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that may be implemented by the current administration related to drug pricing, drug supply chain and manufacturing in the United States. Such cost containment policies and executive orders could substantially and negatively impact the prices we may charge for any approved products, which could harm our valuation, ability to generate revenue and achieve and sustain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the One Big Beautiful Bill Act (OBBBA), which was signed into law in July 2025, includes provisions that will impact the U.S.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The impact of ongoing and future judicial challenges, as well as future legislative, executive, and administrative actions and healthcare measures and agency rules implemented by the government on us and the pharmaceutical industry as a whole is unclear. To the extent changes lead to disruptions in federal agencies, greater uncertainty in the industry, or impose more constraints on drug pricing, such as the introduction of the most-favored nation pricing or international reference pricing, our business may be materially impacted. The implementation of cost containment measures or other healthcare reforms may negatively impact the valuation of our company and/or prevent us from being able to generate revenue, attain profitability, or commercialize our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 candidates. Some states have also enacted legislation creating so-called prescription drug affordability boards, which ultimately may attempt to impose price limits on certain drugs in these states, while some states are also seeking to implement general, across-the-board price caps for pharmaceuticals, or are seeking to regulate drug distribution. Further, the FDA has authorized the State of Florida to develop a program to import certain prescription drugs from Canada for a limited time-period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products or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changes in regulatory requirements and guidance may occur and we may need to amend clinical trial protocols of ongoing studies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Given the serious public health risks of certain AEs that may be associated with certain drug products, the FDA may require, as a condition of approval, costly REMS, which may include safety surveillance, restricted distribution and use, patient education, enhanced labeling, special packaging or labeling, expedited reporting of certain AEs, preapproval of promotional materials and restrictions on direct-to-consumer advertising.</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 xml:space="preserve">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0335"/>
                <wp:effectExtent l="0" t="0" r="0" b="0"/>
                <wp:wrapNone/>
                <wp:docPr id="96" name="Frame8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penalties, contractual damages, exclusion from governmental healthcare programs, reputational harm, administrative burdens and diminished profits and future earnings.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Healthcare providers and third-party payors play a primary role in the recommendation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 candidates for which we obtain marketing approval. The applicable federal, state and foreign healthcare laws and regulations that may affect our ability to operate include, but are not limited to: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A person or entity does not need to have actual knowledge of the federal Anti-Kickback Statute or specific intent to violate it in order to have committed a violation;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false claims, including the civil False Claims Act (the FCA),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 Moreover, the government may assert that a claim including items or services resulting from a violation of the federal Anti-Kickback Statute constitutes a false or fraudulent claim for purposes of the civil False Claims Act;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Open Payments program under the Physician Payments Sunshine Act, which requires certain manufacturers of covered drugs, devices, biologics and medical supplies for which payment is available under Medicare, Medicaid or the Children’s Health Insurance Program (with certain exceptions) and applicable group purchasing organizations to report annually to CMS information related to payments or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and information regarding ownership and investment interests held by physicians (as defined above) and their immediate family members;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and state laws that require biotechnology companies to report information on the pricing of certain drug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drug delivery and/or medical device products is subject to additional requirements and regulations, including extensive record-keeping, licensing, storage and security requirements intended to prevent the unauthorized sale of pharmaceutical, drug delivery and/or medical device products. Products must meet applicable child-resistant packaging requirements under the U.S. Poison Prevention Packaging Act as well as other applicable consumer safety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0335"/>
                <wp:effectExtent l="0" t="0" r="0" b="0"/>
                <wp:wrapNone/>
                <wp:docPr id="97" name="Frame8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 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global data protection landscape is rapidly evolving, and we are or may become subject to numerous state, federal and foreign laws, regulations, standards and other requirements governing the collection, use, disclosure, retention, processing and security of personal information, such as information collected or otherwise processed in connection with clinical trials. Implementation standards and enforcement practices are likely to remain uncertain for the foreseeable future, and we cannot yet determine the impact future laws, regulations, standards or other requirements, or perception of their respective obligations may have on our business. This may create uncertainty in our business, affect our ability to operate in certain jurisdictions or to collect, store, transfer, use, share and otherwise process personal information, necessitate the acceptance of more onerous obligations in our contracts, result in liability or impose additional costs on us. The cost of compliance with these laws, regulations, standards and other requirements is high and is likely to increase in the future. Any failure or perceived failure by us to comply with federal, state or foreign laws or regulations, our internal policies and procedures, our contracts, applicable standards or other actual or asserted requirements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As our operations and business grow, we may become subject to or affected by new or additional laws, regulations, standards and other requirements applicable to the processing of personal information and face increased scrutiny or attention from regulatory authorities. For example, in the United States, HIPAA imposes, among other things, certain standards relating to the privacy, security, transmission and breach reporting of individually identifiable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0335"/>
                <wp:effectExtent l="0" t="0" r="0" b="0"/>
                <wp:wrapNone/>
                <wp:docPr id="98" name="Frame8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79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information. Certain states have also adopted other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 behalf. Similar laws have been passed in other states and are continuing to be proposed at the state and federal level, and the U.S. Department of Justice has issued regulations restricting, and in certain cases prohibiting, certain transfers of sensitive personal information. Some U.S. states also have enacted laws and regulations addressing specific categories of data, such as Washington’s My Health, My Data Act, which, among other things, provides for a private right of action. Collectively, these reflect a trend toward more stringent privacy legislation in the United States. The enactment of such laws could have potentially conflicting requirements that would make compliance challenging. Additional compliance investment and potential business process changes may be required.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work to comply with applicable laws, regulations and standards, our contractual obligations and other legal obligations, these and other actual or potentially asserted requirements are evolving and may be modified, interpreted and applied in an inconsistent manner from one jurisdiction to another, and may conflict with one another or other legal obligations. Any failure or perceived failure by us or our employees, representatives, contractors, consultants, collaborators or other third parties to comply with such requirements or adequately address concerns relating to privacy, security or data protection, even if unfounded, could result in additional cost and liability to us, damage our reputation and adversely affect our business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comply with environmental, health and safety laws and regulations, we could become subject to fines or penalties or incur costs that could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Business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success is highly dependent on our ability to attract and retain highly skilled executive officers and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0335"/>
                <wp:effectExtent l="0" t="0" r="0" b="0"/>
                <wp:wrapNone/>
                <wp:docPr id="99" name="Frame8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commercialization of our product candidates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including Dr. Kahook, our co-founder, president, chief medical officer and executive chair,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we had 65 full-time employees. We will need to expand our organization, and we may have difficulty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rely, and expect to continue to rely, on third parties, including independent clinical investigators and CROs,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relied upon and plan to continue to rely upon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scientific standards, and laws and regulations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Further, these investigators and CROs are not our employees and we will not be able to control, other than by contract, the amount of resources, including time, which they devote to our product candidates and clinical trials. These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0335"/>
                <wp:effectExtent l="0" t="0" r="0" b="0"/>
                <wp:wrapNone/>
                <wp:docPr id="100" name="Frame8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are not substantially dependent on any individual CRO arrangement, if any of our relationships with these third-party CROs terminate, we may not be able to enter into arrangements with alternative CROs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contract with third parties for the manufacture of our product candidates for preclinical studies and our ongoing clinical trials and expect to continue to do so for additional clinical trials and ultimately for commercialization. This reliance on third parties increases the risk that we will not have sufficient quantities of our product candidates for clinical development or such quantities at an acceptable cost, which could delay, prevent or impair our development or commercialization efforts.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own any manufacturing facilities and do not currently have the infrastructure or internal capability to manufacture supplies of our product candidates for use in development and commercialization. We rely, and expect to continue to rely, on third party manufacturers for the production of our product candidates for preclinical studies and clinical trials under the guidance of members of our organization. We manufacture our product candidates for clinical development at our CMOs and source materials used in our product candidates from third parties and formulate them in a proprietary manufacturing process that we developed. We source IOLs manufactured to our specification from an ISO13485:2016-certified and FDA-registered CMO with a long history of producing commercial IOLs through a supply agreement with a 2-year notification period. We seek to strategically maintain sufficient levels of inventory to help mitigate supply disruption, to accommodate varying demand mix and to achieve more efficient volume-based pricing on our components; however, we may not be accurate in our estimates, which could result in insufficient inventory to meet clinical demand or excess inventory.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to rely on third-party manufacturers for the commercial supply of any of our product candidates for which we obtain marketing approval. There are a limited number of manufacturers that operate under cGMP regulations and that are both capable of manufacturing for us and willing to do so.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reduction or termination of production or deliveries by suppliers, or the raising of prices or renegotiation of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0335"/>
                <wp:effectExtent l="0" t="0" r="0" b="0"/>
                <wp:wrapNone/>
                <wp:docPr id="101" name="Frame8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termination or nonrenewal of arrangements or agreements by our third-party contractors at a time that is costly or inconvenient for us;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breach by the third-party contractors of our agreements with them;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reduced day-to-day control over the manufacturing process for our product candidates as a result of using third-party manufacturers for all aspects of manufacturing activities;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third-party contractors to comply with applicable regulatory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the third party to manufacture our product candidates according to our specifications;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mislabeling of clinical supplies, potentially resulting in the wrong dose amounts being supplied or active drug or placebo not being properly identified;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misappropriation of our proprietary information, including our trade secrets and know-how.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have complete control over all aspects of the manufacturing process of, and are dependent on, our CMOs for compliance with cGMP regulations for manufacturing both active drug substances and finished drug products. Third-party manufacturers may not be able to comply with cGMP regulations or similar regulatory requirements outside of the United States.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problems or delays we or our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any of our product candidates are approved and we or our CMOs fail to deliver the required commercial quantities of such product on a timely basis and at reasonable costs, we would likely be unable to meet demand for our products and we would lose potential revenues, which would adversely affect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CMOs’ manufacturing facilities may also be unable to comply with our specifications, cGMP, or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 candidates to specifications acceptable to the FDA or other regulatory authorities, or in accordance with the strict regulatory requirements, we may not obtain or maintain the approvals we need to commercialize such product candidates. For example, manufacturing facilities generally must submit to FDA pre-approval inspections that will be conducted after we submit marketing applications, including our planned NDAs, to the FDA, and any inability on the part of our CMOs to successfully complete such pre-approval inspections could delay or prevent commercialization of our product candidates.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if approved, commercial sales or the temporary or permanent closure of a facility. Any such remedial measures imposed upon us or third parties with whom we contract could materially harm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any approved products, clinical holds or termination of clinical trials, warning or untitled letters, regulatory authority communications warning the public about safety issues, refusal to permit the import or export of such products, product seizure, detention, or recall, operating restrictions, suits under the civil False Claims Act, corporate integrity agreements, consent decrees, or withdrawal of product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0335"/>
                <wp:effectExtent l="0" t="0" r="0" b="0"/>
                <wp:wrapNone/>
                <wp:docPr id="102" name="Frame8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engage in acquisitions, in-licensing or strategic partnerships in the future, this may increase our capital requirements, dilute our stockholders, cause us to incur debt or assume contingent liabilities and subject us to other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engage in various acquisitions and strategic partnerships in the future, including additional licensing arrangements with third parties or acquiring complementary products or product candidates, intellectual property rights, technologies or businesses, joint ventures or other collaborations. Any acquisition or strategic partnership may entail numerous risks,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increased operating expenses and cash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assumption of indebtedness or contingent liabilities;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issuance of our equity securities which would result in dilution to our stockholders;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assimilation of operations, intellectual property, products and product candidates of an acquired company, including difficulties associated with integrating new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diversion of our management’s attention from our existing product candidates and initiatives in pursuing such an acquisition or strategic partnership or in order to manage a collaboration or develop acquired products, product candidates, or technologies;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retention of key employees, the loss of key personnel, and uncertainties in our ability to maintain relationships with key suppliers, manufacturers or customers and any other key business relationships of any acquired business;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risks and uncertainties associated with the other party to such a transaction, including the prospects of that party and their existing products or product candidates and regulatory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higher than expected collaboration, acquisition or integration costs, write-downs of assets or goodwill or impairment charges;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inability to generate revenue from acquired intellectual property, technology and/or product candidates sufficient to meet our objectives or even to offset the associated transaction and maintenance costs.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if we undertake such a transaction, we may incur large one-time expenses and acquire intangible assets that could result in significant future amortization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a result, if we enter into acquisitions, in-licensing or strategic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an acquisition, strategic transaction or license, we will achieve the revenue or specific net income that justifies such transaction or such other benefits that led us to enter into the arrangement.</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have identified a material weakness in our internal control over financial reporting which, if not remediated, could cause us to fail to timely and accurately report our financial results or prevent fraud, result in restatements of our financial statements and could subject our stock to delisting. As a consequence, stockholders could lose confidence in our financial reporting and our stock price could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connection with the preparation of our financial statements included elsewhere in this Annual Report,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our financial statements will not be prevented or detected on a timely basis. If one or more material weaknesses persist or if we fail to establish and maintain effective internal control over financial reporting, our ability to accurately report our financial results could be adversely affected. In particular, we concluded that we had control deficiencies related to an insufficient complement of personnel with an appropriate level of technical knowledge for oversight of specialists and to create the proper environment for effective internal control over financial reporting, the lack of an effective risk assessment process, the lack of formalized processes and control activities to support the appropriate segregation of duties over the review of account reconciliations and journal entries, and the lack of monitoring and communication of control processes and relevant accounting policies and procedures. Management is taking steps to remediate this material weakness in our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0335"/>
                <wp:effectExtent l="0" t="0" r="0" b="0"/>
                <wp:wrapNone/>
                <wp:docPr id="103" name="Frame8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reporting, including hiring additional accounting personnel to assume transaction level responsibilities to appropriately segregate duties between preparers and reviewers.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a public company, we will be required to file annual and quarterly reports containing our financial statements and will be subject to the requirements and standards set by the SEC, the Public Company Accounting Oversight Board (PCAOB) and Nasdaq. If we fail to remediate our material weaknesses or to otherwise develop and maintain adequate internal control over financial reporting, we could fail to timely and accurately report our financial results or prevent fraud, have to restate our financial statements or have our stock delisted. Any such failure could also adversely affect the results of periodic management evaluations regarding the effectiveness of our internal control over financial reporting that will be required when the SEC's rules under Section 404 of the Sarbanes-Oxley Act of 2002 become applicable to us beginning with our annual report on Form 10-K for the year following our first annual report on Form 10-K required to be filed with the SEC. As a result, stockholders could lose confidence in our financial reporting and we could be subject to litigation from investors and stockholders, we could be subject to sanctions or investigations by the SEC, Nasdaq or other regulatory authorities, our access to the capital markets may be restricted and the trading price of our common stock could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material weakness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internal computer systems, or those of any of our CROs, manufacturers, other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 and potentially significant delays in our delivery to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Despite the implementation of security measures in an effort to protect systems that store our information, given their size and complexity and the increasing amounts of information maintained on our internal information technology systems and external processing and storage systems (e.g., cloud), and those of our third-party CROs, other contractors (including sites performing our current or future clinical trials) and consultants and other third-party service providers, these systems are from time to time vulnerable to breakdown or other damage, disruption or interruption from service interruptions, system malfunction, power outages, natural disasters, global pandemics, terrorism, vandalism,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viruses, denial-of-service attacks, phishing attacks and other forms of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unauthorized access to, misuse, disclosure, loss, destruction, alteration, dissemination or other processing of, or damage to, our data, including trade secrets or other confidential information, intellectual property, proprietary business information, and personal information. Several companies have also experienced an increase in phishing and social engineering attacks from third parties in recent years. For example, in June 2025, we received fraudulent wire instructions from a bad actor impersonating a third-party vendor, which resulted in our use of incorrect banking information to wire an immaterial amount of funds. Our employees primarily work from the corporate office but also have the ability to work in a hybrid model in our offices and from home, and we may need to adjust our working model from time to time. As a result, we have increased cyber security and data security risks, due to increased use of home wi-fi networks and virtual private networks, as well as increased disbursement of physical machines. While we implement controls designed to reduce the risk of a resulting security breach or other security incident, we may experience security breaches and incidents, and there is no guarantee that the measures we have implemented will be adequate to safeguard all systems and data, especially with an increased number of employees working from home or in a hybrid model where it is more difficult for us to monitor our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Any cyber-attack, disruption or other security breach or incident, including any such event resulting in any unauthorized, unlawful, or accidental access to, or acquisition, use, corruption, loss, destruction, unavailability,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0335"/>
                <wp:effectExtent l="0" t="0" r="0" b="0"/>
                <wp:wrapNone/>
                <wp:docPr id="104" name="Frame8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alteration or dissemination of, or damage to, our data (including confidential or personal information) or other data we or any of our CROs, other contractors or consultants or potential future collaborators or other third-party service providers maintain or otherwise process, or our applications, or for it to be believed or reported that any of these occurred, could result in us incurring liability and reputational damage and delays in the development and commercialization of our product candidates. For example, if a security incident were to result in interruptions in our operations, it could result in a material disruption of our programs and the development of our product candidates could be delayed. In addition, the loss or unavailability of clinical trial data for our product candidates could result in delays in our marketing approval efforts and significantly increase our costs to recover or reproduce the data. Furthermore, disruptions of our internal information technology systems or those of third parties used in our business, or security breaches or incidents impacting us or any of our CROs, other contractors or consultants or potential future collaborators or other third-party service providers, could result in the loss, misappropriation, and/or unauthorized access, use, or disclosure of, or the inability to access, data (including trade secrets or other confidential information, intellectual property, proprietary business information, and personal information), which could result in financial, legal, business, and reputational harm to us. Unauthorized access to, or use, disclosure or other processing of personal information, including personal information regarding our clinical trial subjects or employees, could harm our reputation directly, compel us to notify individuals or regulators under data breach notification laws, cause us to incur costs related to investigation of the incident (including legal expenses, forensic examination costs, and remediation costs),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incur significant costs in our efforts to detect, prevent, and respond to security incidents. We also rely on third parties to manufacture our product candidates, and similar events relating to their systems could also have a material adverse effect on our business. There have been and may continue to be significant supply chain attacks and operational technology attacks globally, and we cannot guarantee that our systems or those of third-party service providers or other third parties that support us or our operations have not been subject to security breaches or incidents or that they do not contain exploitable defects or bugs that could result in a security breach of, security incident impacting or other disruption to, our systems and the systems of third parties that support us and our operations. Any cyber-attack, disruption or other security breach or incident, including any such event resulting in any loss, unavailability, destruction or alteration of, or damage to, our data, or inappropriate acquisition, disclosure or other processing of confidential or proprietary information, could expose us to litigation and governmental investigations and other actions and proceedings, delay further development and commercialization of our product candidates, and result in our being subject to significant fines, penalties or other liabilities. Litigation and governmental investigations or other actions or proceedings could require us to spend money in defense or settlement, divert management’s time and attention, increase our costs of doing business, and/or adversely affect our reputation. We could be required to fundamentally change our business activities and practices in response to such litigation or investigations or other actions or proceedings, which could have an adverse effect on our business. Any actual or perceived inability by ourselves or any of our CROs, other contractors or consultants or potential future collaborators or other third-party service providers to adequately protect data have a material adverse effect upon our reputation, business, operations, or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insurance policies may not be adequate to compensate us for the potential losses arising from any such disruption in or, failure or security breach of, or incident impacting, our systems or third-party systems where information important to our business operations or commercial development is maintained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business could be affected by litigation, government investigations, and enforcement actions.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data privacy and security,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Legal proceedings, government investigations and enforcement actions can be expensive and time-consuming. An adverse outcome resulting from any such proceedings, investigations or enforcement actions could result in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0335"/>
                <wp:effectExtent l="0" t="0" r="0" b="0"/>
                <wp:wrapNone/>
                <wp:docPr id="105" name="Frame9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 variety of risks associated with marketing our product candidates internationally could materially adversely affect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seek to develop regulatory strategies for our product candidates outside the United States and, if we do so, we expect that we or our partners would seek regulatory approval of our product candidates outside of the United States. If we do seek to market our product candidates outside the United States, we will be subject to additional risks related to operating in foreign countries if we or our such partners obtain the necessary approvals,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differing regulatory requirements and pricing regimes in foreign countries;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unexpected changes in tariffs, trade barriers, price and exchange controls and other regulatory requirements;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economic weakness, including inflation, or political instability in particular foreign economies and markets;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compliance with tax, employment, immigration and labor laws for employees living or traveling abroad;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foreign taxes, including withholding of payroll taxes;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foreign currency fluctuations, which could result in increased operating expenses and reduced revenue, and other obligations incident to doing business in another country;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difficulties staffing and managing foreign operations;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workforce uncertainty in countries where labor unrest is more common than in the United States;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potential liability under the U.S. Foreign Corrupt Practices Act (FCPA) or comparable foreign regulations;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production shortages resulting from any events affecting raw material supply or manufacturing capabilities abroad;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business interruptions resulting from geopolitical actions, including war and terrorism.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and other risks associated with our international operations or those of any applicable international partners may materially adversely affect our ability to attain or maintain profitable operations.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Ownership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 active, liquid and orderly market for our common stock may not develop, or if it is developed, may not be sustained, or we may in the future fail to satisfy the continued listing requirements of Nasdaq, and, as a result, it may be difficult for you to sell your shares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our initial public offering (IPO), there was no public market for our common stock. Although our common stock is listed on the Nasdaq Global Select Market under the symbol “SGP,” an active trading market for our common stock may not develop, of if it is developed, may not be sustained and the trading market may be limited.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in the future, we fail to satisfy the continued listing requirements of Nasdaq, such as the corporate governance requirements, the minimum closing bid price requirement or the minimum stockholders’ equity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0335"/>
                <wp:effectExtent l="0" t="0" r="0" b="0"/>
                <wp:wrapNone/>
                <wp:docPr id="106" name="Frame9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trading price of our common stock may be highly volatile, and you could lose all or part of your investment.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trading price of our common stock may be highly volatile and could be subject to fluctuations in response to various factors, some of which are beyond our control. The stock market in general and the market for stock of biopharmaceutical companies in particular have experienced extreme volatility that has often been unrelated to the operating performance of particular companies. Factors that could cause fluctuations in the trading price of our common stock include those discussed in this “Risk Factors” section and many others, including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results of our clinical trials and preclinical studies, and the results of trials of our competitors or those of other companies in our market sector;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enroll patients in our future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obtain and maintain regulatory approval of any of our current or future product candidates or additional indications thereof, or limitations to specific label indications or patient populations for its use, or changes or delays in the regulatory review process;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the structure of healthcare payment systems;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success or failure of our efforts to develop, acquire or license any of our current or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innovations, clinical trial results, product approvals and other developments regarding our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announcements by us or our competitors of significant acquisitions, strategic partnerships, joint ventures or capital commitments;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supply or distribution delays or shortages;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changes to our relationship with any manufacturers, suppliers, collaborators or other strategic partners;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achievement of expected product sales and profitability;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variations in our financial results or development timelines or those of companies that are perceived to be similar to us, including variations from expectations of securities analysts or investors;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price and volume fluctuations in the overall stock market from time to time;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sales of shares of our common stock by us, our insiders or our stockholders, as well as the anticipation of lock-up releases or expiration of market standoff or lock-up agreements;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recruitment or departure of senior management, directors or key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public’s reaction to our press releases, other public announcements and filings with the SEC;</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rumors and market speculation involving us or other companies in our industry;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fluctuations in the trading volume of our shares or the size of our public float;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variations in our financial results or development timelines or those of companies that are perceived to be similar to us, including variations from expectations of securities analysts or investors;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market conditions in the biopharmaceutical sector and failure of securities analysts to maintain coverage of us;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litigation involving us, our industry or both;</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governmental or regulatory actions or audits;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or legal developments in the United States and other countries;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general economic, industry, geopolitical and market conditions, such as military conflict or war, inflation and financial institution instability, or pandemic or epidemic disease outbreaks, many of which are beyond our control;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intellectual property, product liability or other litigation against us or our inability to enforce our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our capital structure, such as future issuances of securities and the incurrence of debt;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accounting standards, policies, guidelines, interpretations or principles.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addition, in the past, stockholders have initiated class action lawsuits against biopharmaceutical companies following periods of volatility in the market prices of these companies’ stock. This litigation, if instituted against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0335"/>
                <wp:effectExtent l="0" t="0" r="0" b="0"/>
                <wp:wrapNone/>
                <wp:docPr id="107" name="Frame9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could cause us to incur substantial costs, divert our management’s attention and resources and damage our reputation, which could have a material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March 1, 2026, our directors, executive officers, holders of more than 5% of our common stock and their respective affiliates beneficially owned, in the aggregate, approximately 81% of the shares of our outstanding common stock. As a result, these stockholders, if they act together, will be able to influence our management and affairs and all matters requiring stockholder approval, including the election of directors, amendments of our organizational documents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in control of our company and might affect the market price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 significant portion of our outstanding shares of common stock is restricted from immediate resale but may be sold into the market in the near future, which could cause the market price of our common stock to decline significantly, even if our business is doing well.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March 1, 2026, we had 33,426,557 shares of common stock outstanding. Of these shares, 10,781,250 shares are freely tradable and substantially all of the remaining shares of common stock will be available for sale in the public market beginning in August 2026 following the scheduled expiration of lock-up agreements that certain of our stockholders and the underwriters entered into in connection with our IPO. Jefferies LLC and Leerink Partners LLC may, in their sole discretion and at any time or from time to time before the termination of the lock-up period release all or any portion of the securities subject to the lock-up agreements.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on February 6, 2026, we filed a registration statement on Form S-8 under the Securities Act registering the issuance of 7,756,513 shares of common stock subject to options or other equity awards issued or reserved for future issuance under our equity incentive plans. Subject to the satisfaction of applicable vesting restrictions and the expiration or waiver of the market standoff agreements and lock-up agreements referred to above, the shares issued upon exercise of outstanding stock options will be available for immediate resale in the public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stockholders owning an aggregate of up to 20,341,968 shares of our common stock are entitled, under our investors’ rights agreement, to certain rights with respect to the registration of the offer and resale of those shares under the Securities Act. Registration of these shares under the Securities Act would result in the shares becoming freely tradable without restriction under the Securities Act, except for shares held by affiliates, as defined in Rule 144 under the Securities Act.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our common stock as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 at a time and price that you deem appropriate.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Until such time, if ever, as we can generate substantial revenues, we expect that we will need additional capital in the future to continue our planned operations, which include conducting clinical trials, pursuing commercialization efforts, expanding research and development activities, and operating as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our IPO.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0335"/>
                <wp:effectExtent l="0" t="0" r="0" b="0"/>
                <wp:wrapNone/>
                <wp:docPr id="108" name="Frame9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89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capital due to favorable market conditions or strategic considerations even if we believe we have sufficient funds for our current or future operating plans.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our 2026 Equity Incentive Plan (2026 Plan), our board of directors or its duly authorized committee is authorized to grant equity awards to our employees, directors, and consultants.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Initially, a total of 4,116,060 shares of our common stock were reserved for issuance pursuant to our 2026 Plan, which number is inclusive of shares that remained available for grant under our 2019 Equity Incentive Plan (2019 Plan) as of the effectiveness of the 2026 Plan. In addition, the shares reserved for issuance under our 2026 Plan also includes shares of our common stock subject to or issued pursuant to awards granted under our 2019 Plan that, after the date of stockholder approval of the 2026 Plan, expired or otherwise terminated without having been exercised in full or are forfeited to or repurchased by us due to failure to vest (provided that the maximum number of shares that may be added to the 2026 Plan pursuant to the foregoing is 3,306,187 shares). The number of shares of our common stock reserved for issuance under the 2026 Plan shall be cumulatively increased on the first day of each fiscal year, beginning with our 2027 fiscal year and ending on the ten year anniversary of the date our board of directors approves the 2026 Plan equal to the least of 10,027,967 shares, 5.0% of the total number of shares of our common stock outstanding as of the last day of the immediately preceding fiscal year, or a lesser number of shares determined by the administrator of the 2026 Plan. Unless the administrator of the 2026 Plan elects not to increase the number of shares available for future grant each year, our stockholders may experience additional dilution, which could cause our stock price to fall.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pursuant to our 2026 Employee Stock Purchase Plan (ESPP), our employees may receive the right to purchase shares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Initially, the aggregate number of shares of our common stock available for sale under our ESPP is 334,266 shares. The number of shares of our common stock available for sale under our ESPP shall be cumulatively increased on the first day of each fiscal year, beginning with the fiscal year following the fiscal year in which the first enrollment date (if any) occurs under the ESPP and ending on the twenty year anniversary of the date our board of directors approves the ESPP equal to the least of 1,002,797 shares, 1.0% of the total number of shares of our common stock outstanding as of the last day of the immediately preceding fiscal year, or a lesser number of shares determined by the administrator of the ESPP. Unless the administrator of the ESPP elects not to increase the number of shares available for future grant each year, our stockholders may experience additional dilution, which could cause our stock price to fall.</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board of directors is authorized to issue and designate shares of our redeemable convertible preferred stock in additional series without stockholder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amended and restated certificate of incorporation authorizes our board of directors, without the approval of our stockholders, to issue shares of our redeemable convertible preferred stock, subject to limitations prescribed by applicable law, rules and regulations and the provisions of our amended and restated certificate of incorporation, as shares of redeemable convertible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redeemable convertible preferred stock may be senior to or on parity with our common stock, which may reduce its value.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an “emerging growth company” and, due to the reduced reporting requirements applicable to emerging growth companies, certain investors may find investing in our common stock less attractive.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an emerging growth company, as defined in the Jumpstart Our Business Startups Act (JOBS Act). As a result of this status, we have taken advantage of reduced reporting requirements in this Annual Report and, for as long as we continue to be an emerging growth company, we may continue to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(Sarbanes-Oxley Act), reduced disclosure obligations regarding executive compensation in this Annual Report and our periodic reports and proxy statements, and exemptions from the requirements of holding nonbinding advisory votes on executive compensation and stockholder approval of any golden parachute payments not previously approved. We will remain an emerging growth company until the earlier of (1) the last day of the fiscal year (a) following the fifth anniversary of the closing of our IPO (i.e., December 31, 2031, (b) in which we have total annual gross revenue of at least $1.235 billion, or (c) in which we are deemed to be a large accelerated filer, which requires, among other things, that the market value of our common stock that is held by non-affiliates to exceed $700 million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0335"/>
                <wp:effectExtent l="0" t="0" r="0" b="0"/>
                <wp:wrapNone/>
                <wp:docPr id="109" name="Frame9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of the prior June 30th, and (2) the date on which we have issued more than $1 billion in non-convertible debt during the prior three-year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we are also a non-accelerated filer at that time) and reduced disclosure obligations regarding executive compensation in this Annual Report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JOBS Act, emerging growth companies can also delay adopting new or revised accounting standards until such time as those standards apply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 As a result, changes in rules of GAAP or their interpretation, the adoption of new guidance, or the application of existing guidance to changes in our business could significantly affect our financial position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do not anticipate paying cash dividends for the foreseeable future, and therefore investors should not buy our stock if they wish to receive cash dividends. Investors may never obtain a return on their investment.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You should not rely on an investment in our common stock to provide dividend income. 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Delaware law and provisions in our amended and restated certificate of incorporation and amended and restated bylaws might delay, discourage or prevent a change in control of our company or changes in our management, thereby depressing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or delay or prevent changes in control of our management. Among other things, these provisions: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authorize our board of directors to issues shares of preferred stock and determine the price and other terms of those shares, including preferences and voting rights, without stockholder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permit only the board of directors to establish the number of directors and fill vacancies on the board;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 that our board of directors is divided into three classes, Class I, Class II and Class III, with each class serving staggered three-year terms;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 so long as our board of directors is classified, and subject to the rights of holders of our preferred stock, provide that our directors may only be removed by stockholders for cause;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permit stockholders to only take actions at a duly called annual or special meeting and not by written consent;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 that stockholders give advance notice to nominate directors or submit proposals for consideration at stockholder meetings;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eliminate cumulative voting in the election of directors;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prohibit stockholders from calling a special meeting of stockholders;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 a super-majority vote of stockholders to amend some of the provisions described above.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These provisions, alone or together, could delay, discourage or prevent a transaction involving a change in control of our company. These provisions could also discourage proxy contests and make it more difficult for stockholders to elect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0335"/>
                <wp:effectExtent l="0" t="0" r="0" b="0"/>
                <wp:wrapNone/>
                <wp:docPr id="110" name="Frame9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amended and restated bylaws designate a state or federal court located within the State of Delaware as the exclusive forum for substantially all disputes between us and our stockholders, and also provide that the federal district courts is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would not apply to any action brought to enforce a duty or liability created by the Exchange Act and the rules and regulations thereunder.</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Further, the enforceability of similar exclusive forum provisions in other companies’ organizational documents have been challenged in legal proceedings, and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all of which could harm our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240"/>
        <w:jc w:val="left"/>
        <w:rPr/>
      </w:pPr>
      <w:r>
        <w:rPr>
          <w:rFonts w:ascii="Trade Gothic;sans-serif" w:hAnsi="Trade Gothic;sans-serif"/>
          <w:b w:val="false"/>
          <w:color w:val="000000"/>
          <w:sz w:val="19"/>
        </w:rPr>
        <w:t xml:space="preserve">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 xml:space="preserve">certificate of incorporation and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provide that we will indemnify our directors and officers, in each case to the fullest extent permitted by Delaware law. 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40"/>
        <w:jc w:val="left"/>
        <w:rPr/>
      </w:pPr>
      <w:r>
        <w:rPr>
          <w:rFonts w:ascii="Trade Gothic;sans-serif" w:hAnsi="Trade Gothic;sans-serif"/>
          <w:b w:val="false"/>
          <w:color w:val="000000"/>
          <w:sz w:val="19"/>
        </w:rPr>
        <w:t xml:space="preserve">In addition, as permitted by Section 145 of the Delaware General Corporation Law,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and our indemnification agreements that we have entered into with our directors and officers provide that: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0335"/>
                <wp:effectExtent l="0" t="0" r="0" b="0"/>
                <wp:wrapNone/>
                <wp:docPr id="111" name="Frame9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in our discretion, indemnify employees and agents in those circumstances where indemnification is permitted by applicable law.</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We are not obligated pursuant to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The rights conferred in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not retroactively amend our bylaw provisions to reduce our indemnification obligations to directors, officers, employees and agents.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the extent that a claim for indemnification is brought by any of our directors or officers, it would reduce the amount of funds available for use in our business.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General Risk Factors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will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a public company, we will incur substantial legal, accounting and other expenses that we did not incur as a private company, and these expenses may increase even more after we are no longer an “emerging growth company.” For example, we will be subject to the reporting requirements of the Exchange Act, the Sarbanes-Oxley Act, the Dodd-Frank Wall Street Reform and Consumer Protection Act of 2010, the rules and regulations of the SEC and the listing standards of Nasdaq. Our management and other personnel will need to devote a substantial amount of time to compliance with these requirements and we expect these rules and regulations to substantially increase our legal and financial compliance costs. For example, we expect these rules and regulations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we will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increased costs and demands upon management could adversely affect our business, results of operations and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establish and maintain proper and effective internal control over financial reporting, our operating results and our ability to operate our business could be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Pursuant to Section 404 of Sarbanes-Oxley, our management will be required to report upon the effectiveness of our internal control over financial reporting beginning with the second annual report following the completion of our IPO. When we lose our status as an “emerging growth company” and do not otherwise qualify as a non-accelerated filer, our independent registered public accounting firm will be required to attest to the effectiveness of our internal control over financial reporting. Ensuring that we have adequate internal financial and accounting controls and procedures in place so that we can produce accurate financial statements on a timely basis is a costly and time-consuming effort that needs to be evaluated frequently. Our internal control over financial reporting is a process designed to provide reasonable assurance regarding the reliability of financial reporting and the preparation of financial statements in accordance with GAAP. We have begun the process of documenting, reviewing, and improving our internal controls and procedures for compliance with Section 404 of the Sarbanes-Oxley Act, which will require annual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0335"/>
                <wp:effectExtent l="0" t="0" r="0" b="0"/>
                <wp:wrapNone/>
                <wp:docPr id="112" name="Frame9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assessment of the effectiveness of our internal control over financial reporting. We have begun recruiting additional finance and accounting personnel with certain skill sets that we will need as a public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Implementing any appropriate changes to our internal controls entails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We may discover significant deficiencies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 addition, investors’ perceptions that our internal controls are inadequate or that we are unable to produce accurate financial statements on a timely basis may harm our stock price and make it more difficult for us to effectively market and sell our service to new and existing customers.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preparation of financial statements in conformity with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maintain effective disclosure controls and procedures, our business, financial position and results of operations could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other internal controls and procedures, no matter how well-conceived and operated, can provide only reasonable, not absolute, assurance that the objectives of the control system are met.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securities or industry analysts either do not publish research about us or publish inaccurate or unfavorable research about us, our business or our market, or if they adversely change their recommendations regarding our common stock, the trading price or trading volume of our common stock could decline.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trading market for our common stock will be influenced in part by the research and reports that securities or industry analysts may publish about us, our business, our market or our competitors. If one or more securities analysts initiate research with an unfavorable rating or downgrade our common stock, provide a more favorable recommendation about our competitors or publish inaccurate or unfavorable research about our business, our common stock price would likely decline. If few securities analysts commence coverage of us, or if one or more of these analysts cease coverage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0335"/>
                <wp:effectExtent l="0" t="0" r="0" b="0"/>
                <wp:wrapNone/>
                <wp:docPr id="113" name="Frame9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us or fail to publish reports on us regularly, we could lose visibility in the financial markets and demand for our securities could decrease, which in turn could cause the price and trading volume of our common stock to decline.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insurance policies may be inadequate, may not cover all of our potential liabilities and may potentially expose us to unrecoverable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carry insurance for all categories of risk that our business may encounter. Some of the policies we currently maintain include property, general liability, employee benefits liability, business automobile, workers’ compensation, clinical trials/products liability, cybersecurity liability, directors’ and officers’, crime, fiduciary,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although we are dependent on certain key personnel, we do not have key person life insurance policies on any such individuals. Therefore, if any of our key personnel die or become disabled, the loss of such person could materially adversely affect our business, financial condition, results of operations and growth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 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0335"/>
                <wp:effectExtent l="0" t="0" r="0" b="0"/>
                <wp:wrapNone/>
                <wp:docPr id="114" name="Frame9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of the United States, to sell our products abroad if they are approved and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could be subject to securities class action litigation, which is expensive and could divert management attention.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operating results, or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Changes in our income tax rates or other indirect taxes may affect our future financial results.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is subject to federal, state and local income taxes in the United States. The future effective income tax rates and the value of the deferred tax assets may be favorably or unfavorably affected by unanticipated changes in the valuation of the deferred tax assets and liabilities, by changes in stock price, or by changes in tax laws or their interpretation, which changes may have retroactive application. In recent years, many such changes have been made and changes are likely to continue to occur in the future. For example, many of the provisions enacted under the 2017 Tax Cuts and Jobs Acts (“TCJA”), which introduced significant changes to United States income tax law, were set to expire at the end of 2025. On July 4, 2025, the One Big Beautiful Bill Act (“OBBBA”) was enacted, extending key provisions of the TCJA and bringing significant changes to United States income tax laws, including modifications to the limitations on interest deductions. The OBBBA did not have a material impact on the Company’s financial statements for the year ended December 31, 2025. The Company continues to evaluate the implications of this legislation on future periods. Some of the provisions of these laws still require finalization by the United States Treasury Department, increasing the uncertainty as to the ultimate effects on us and our stockholders. Accounting for the income tax effects of the TCJA and OBBBA has required significant judgments and estimates as well as accumulation of information not previously provided for in United States tax law. In addition, the Company is subject to the examination of its income tax returns by the Internal Revenue Service, state and local tax authorities. The Company regularly assesses the likelihood of adverse outcomes resulting from these examinations to determine the adequacy of the provision for income taxes. These continuous examinations and tax developments may result in unforeseen tax-related liabilities, which may harm our future financial results.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ability to use our net operating loss carryforwards and certain other tax attributes may be limited.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we had United States federal and state net operating loss (“NOL”) carryforwards of $76.5 million and $5.0 million, respectively, which may be available to offset future taxable income for United States income tax purposes. The federal NOL carryforwards of $76.5 million may be carried forward indefinitely. State NOL carryforwards totaling $5.0 million begin to expire in 2029, unless previously utilized. In addition, we had federal and state general business credit carryforwards totaling $3.3 million and $4.2 million, respectively. The federal general business credit carryforwards will begin to expire in 2039 unless previously utilized. The state general business credit carryforwards may be carried forward indefinitely.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Under current law, United States federal NOLs generated in taxable periods beginning after December 31, 2017, will not expire and may be carried forward indefinitely, but the deductibility of such NOL carryforwards in a taxable year is limited to 80% of current year taxable income (with certain adjustments). Many state jurisdictions conform to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0335"/>
                <wp:effectExtent l="0" t="0" r="0" b="0"/>
                <wp:wrapNone/>
                <wp:docPr id="115" name="Frame10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law for this purpose or have other provisions that limit the deductibility of state NOL carryforwards in a taxable period. In addition, under Sections 382 and 383 of the Code, United States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of equity by more than 50 percentage points (by value) within a rolling three-year period. To the extent we have experienced or will experience an ownership change(s), our ability to utilize our NOL carryforwards and other tax attributes to offset future taxable income or tax liabilities may be limited. If we earn taxable income, such limitations could result in increased future income tax liability to us, and our future cash flows could be adversely affected.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adverse legislative or regulatory tax changes that could negatively impact our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or may become subject to income and non-income taxes in the United States under federal, state, and local jurisdictions in which we may operate. The rules dealing with U.S. federal, state, and local income and non-income taxation are constantly under review by persons involved in the legislative process and by the U.S. Internal Revenue Service and the U.S. Treasury Department. Changes to tax laws (which changes may have retroactive application) or in their implementation or interpretation could adversely affect us or our stockholders. We continually assess the impact of various tax reform proposals in all jurisdictions where we have operations to determine the potential effect on our business and any assumptions we will make about our future taxable income. For example, the OBBBA was enacted in July 2025 and we are evaluating the tax impact of OBBBA to us. We cannot predict whether any specific proposals will be enacted, the terms of any such proposals or what effect, if any, such proposals would have on our business if they were to be enacted. Any such changes, among others, may adversely affect our effective tax rate, results of operation, and general business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Unstable market and economic conditions, including adverse developments affecting the financial services industry, such as actual events or concerns involving liquidity, defaults or non-performance by financial institutions or transactional counterparties, may have serious adverse consequences on our business, financial condition and stock price.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widely reported, global credit and financial markets have experienced volatility and disruptions recently including severely diminished liquidity and credit availability, declines in consumer confidence, declines in economic growth, increases in unemployment rates and uncertainty about economic stability, and increased inflationary risk. The financial markets and the global economy may also be adversely affected by the current or anticipated impact of military conflict, including military conflicts in Ukraine and the Middle East, terrorism or other geopolitical events, as well as any ongoing or additional impacts of the COVID-19 pandemic or similar outbreak. Sanctions imposed by the United States and other countries in response to such conflicts, including in Ukraine and the Middle East, may also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equity or debt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was closed by the California Department of Financial Protection and Innovation, which appointed the Federal Deposit Insurance Corporation as receiver. Similarly, in March 2023, Signature Bank and Silvergate Capital Corp. were each swept into receivership, as was First Republic Bank in May 2023.</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0335"/>
                <wp:effectExtent l="0" t="0" r="0" b="0"/>
                <wp:wrapNone/>
                <wp:docPr id="116" name="Frame10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we had cash and cash equivalents and short-term investments of $107.4 million. While we are not aware of any downgrades, material losses, or other significant deterioration in the fair value of our cash equivalents and short-term investments since December 31, 2025, no assurance can be given that further deterioration of the global credit and financial markets would not negatively impact our current portfolio of cash equivalents and short-term investments or our ability to meet our financing objectives. Furthermore, our stock price may decline due in part to the volatility of the stock market and the general economic downturn.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1B. </w:t>
      </w:r>
      <w:hyperlink w:anchor="ifaf54775e85441fc836f60bc7c4f1464_19">
        <w:r>
          <w:rPr>
            <w:rStyle w:val="InternetLink"/>
            <w:rFonts w:ascii="Trade Gothic;sans-serif" w:hAnsi="Trade Gothic;sans-serif"/>
            <w:b/>
            <w:strike w:val="false"/>
            <w:dstrike w:val="false"/>
            <w:color w:val="000000"/>
            <w:sz w:val="20"/>
            <w:u w:val="none"/>
            <w:effect w:val="none"/>
          </w:rPr>
          <w:t>Unresolved Staff Comments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1C. </w:t>
      </w:r>
      <w:hyperlink w:anchor="ifaf54775e85441fc836f60bc7c4f1464_1302">
        <w:r>
          <w:rPr>
            <w:rStyle w:val="InternetLink"/>
          </w:rPr>
          <w:t>Cybersecu</w:t>
        </w:r>
      </w:hyperlink>
      <w:hyperlink w:anchor="ifaf54775e85441fc836f60bc7c4f1464_1302">
        <w:r>
          <w:rPr>
            <w:rStyle w:val="InternetLink"/>
          </w:rPr>
          <w:t>r</w:t>
        </w:r>
      </w:hyperlink>
      <w:hyperlink w:anchor="ifaf54775e85441fc836f60bc7c4f1464_1302">
        <w:r>
          <w:rPr>
            <w:rStyle w:val="InternetLink"/>
          </w:rPr>
          <w:t>ity</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 Management and Strategy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integrates cybersecurity risk management into its broader enterprise risk management processes, which are reviewed periodically by the board of directors. As a newly public organization, we continue to make investments to augment the capabilities of our people, processes, and technologies to address cybersecurity risks. Our cybersecurity risks and controls are integrated into our enterprise risk governance framework and are reviewed by the board of directors.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maintain a comprehensive set of cybersecurity and data protection policies and procedures. We provide regular cybersecurity awareness training, including specific topics related to social engineering and financial email fraud. We engage external consultants with significant expertise and certifications in cybersecurity within our industry to support cybersecurity governance, risk assessment, and program development. These consultants work with internal leadership to identify risks, evaluate controls, and align cybersecurity practices with regulatory expectations.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information technology (IT) and cybersecurity controls are established based on recognized industry standards and cover areas such as risk management, data backup, disaster recovery, vulnerability management, third-party risk management, network segmentation, identity protection, and continuous monitoring.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primary responsibility for assessing, monitoring, and managing cybersecurity risks rests with the chief operating officer, who oversees the risk assessment and mitigation process. We maintain a dedicated external IT consultant resource with expertise in cybersecurity and risk management within our industry, working alongside internal leadership on cybersecurity oversight.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engage a managed security service provider (MSSP) to deliver operational IT and cybersecurity activities, including endpoint protection, identity monitoring, vulnerability management, network segmentation monitoring, incident response support, encryption enforcement, SaaS monitoring, and workforce awareness training. The MSSP monitors cybersecurity events continuously within our environment to detect, alert, respond to, and minimize cybersecurity threats.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chief operating officer oversees cybersecurity risk management, supported by external cybersecurity leadership and the MSSP. These activities represent an ongoing, continuous-improvement effort to mature our cybersecurity capabilities. Annual penetration testing and periodic red team exercises are identified as 2026 validation priorities as part of our continued cybersecurity maturity roadmap.</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Governance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board of directors is responsible for overseeing cybersecurity risk management and strategy. The chief operating officer provides periodic briefings to the board of directors regarding cybersecurity risks, monitoring activities,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0335"/>
                <wp:effectExtent l="0" t="0" r="0" b="0"/>
                <wp:wrapNone/>
                <wp:docPr id="117" name="Frame10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incidents, and mitigation efforts. Cybersecurity risk management is integrated into the Company’s broader risk oversight discussions at the board of directors level.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the Audit Committee reviews and discusses with management and our independent auditor guidelines and policies to identify, monitor, and address enterprise risks, including those related to cybersecurity, and the steps management has taken to monitor and control such exposures. The Audit Committee also oversees and monitors management’s plans to address such risks.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Cybersecurity Threat Disclosure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date, we are not aware of any cybersecurity threats that have materially affected or are reasonably likely to materially affect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2. </w:t>
      </w:r>
      <w:hyperlink w:anchor="ifaf54775e85441fc836f60bc7c4f1464_22">
        <w:r>
          <w:rPr>
            <w:rStyle w:val="InternetLink"/>
            <w:rFonts w:ascii="Trade Gothic;sans-serif" w:hAnsi="Trade Gothic;sans-serif"/>
            <w:b/>
            <w:strike w:val="false"/>
            <w:dstrike w:val="false"/>
            <w:color w:val="000000"/>
            <w:sz w:val="20"/>
            <w:u w:val="none"/>
            <w:effect w:val="none"/>
          </w:rPr>
          <w:t>Properties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corporate headquarters are currently located in Aliso Viejo, California, and consists of 22,592 rentable square feet of office and laboratory space pursuant to a lease that expires not later than July 31, 2026. We have entered into a lease for a new headquarters in Irvine, California consisting of approximately 32,621 rentable square feet of office and laboratory space for a term of approximately 84 months commencing on July 1, 2026. We lease all of our facilities and do not own any real property. We believe that our existing facilities are adequate and suitable for our current needs and that, should it be needed, suitable additional or alternative space will be available as and when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3. </w:t>
      </w:r>
      <w:hyperlink w:anchor="ifaf54775e85441fc836f60bc7c4f1464_25">
        <w:r>
          <w:rPr>
            <w:rStyle w:val="InternetLink"/>
            <w:rFonts w:ascii="Trade Gothic;sans-serif" w:hAnsi="Trade Gothic;sans-serif"/>
            <w:b/>
            <w:strike w:val="false"/>
            <w:dstrike w:val="false"/>
            <w:color w:val="000000"/>
            <w:sz w:val="20"/>
            <w:u w:val="none"/>
            <w:effect w:val="none"/>
          </w:rPr>
          <w:t>Legal Proceedings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September 17, 2025, Glaukos Corporation (Glaukos) filed a lawsuit in the United States District Court for the Central District of California against SpyGlass and against one of our employees, Long Doan (together, the Defendants) (Case No. 8:25-cv-02105) (the Complaint). Glaukos asserted two causes of action against the Company: trade secret misappropriation under the federal Defend Trade Secrets Act, and a similar claim under California’s unfair competition statute. Glaukos asserted three claims against Mr. Doan: breach of contract, fraud regarding employee exit documentation, and a violation of the Computer Fraud and Abuse Act. The Complaint requests customary remedies, including (a) a judgment that the Company misappropriated Glaukos’ trade secrets, (b) seizure of Defendants’ computers to arrange for the deletion of any of Glaukos’ trade secrets, (c) a temporary, preliminary and permanent injunction against the Defendants from the use of certain intellectual property, (d) damages, (e) attorneys’ fees, (f) interest on any foregoing sums, and (g) any relief as the court deems just and equitable, which could include future royalty payments. On October 6, 2025, Glaukos filed a motion for a preliminary injunction based on the Company’s alleged misappropriations and Mr. Doan’s alleged breaches. The Company and Mr. Doan opposed the motions for a preliminary injunction on October 30, 2025. Glaukos filed its reply in support of its motion for a preliminary injunction on November 10, 2025, and a hearing on the motion for preliminary injunction was held on December 11, 2025, where the court denied Glaukos’ request for employment restrictions on Mr. Doan and the Company, and ordered the parties to arrange and agree to a process for the forensic review of alleged trade secret information. On November 18, 2025, the Company and Mr. Doan each filed motions to dismiss Glaukos’ complaint. Glaukos opposed such motions on December 8, 2025, and the Company filed its reply on January 12, 2026. A case management conference and a hearing on the motions to dismiss was held on January 26, 2026. At the January 26, 2026 case management conference, the parties stipulated to a protective order and to an order governing the production of electronically stored information. Although the court took the Company’s and Doan’s motions to dismiss under advisement, with a formal order to issue later, the court indicated that it was likely to grant the Company’s motion to dismiss Glaukos’ unfair competition law claim with prejudice. Trial in the matter has been set for October 27, 2026. We believe we have meritorious defenses, vehemently deny the allegations and intend to defend the case vigorously. While we believe we will prevail in this matter, the outcome of any litigation is inherently uncertain and there can be no assurance that the outcome of the case or the costs of litigation, regardless of outcome, will not have a material adverse effect on our business. See “Risk Factors —Risks Related to Our Intellectual Property” for further description of risks associated with this litigation.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time to time, we may be subject to legal proceedings and claims arising in the ordinary course of our business. Regardless of outcome, litigation and other legal and administrative proceedings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4. </w:t>
      </w:r>
      <w:hyperlink w:anchor="ifaf54775e85441fc836f60bc7c4f1464_28">
        <w:r>
          <w:rPr>
            <w:rStyle w:val="InternetLink"/>
            <w:rFonts w:ascii="Trade Gothic;sans-serif" w:hAnsi="Trade Gothic;sans-serif"/>
            <w:b/>
            <w:strike w:val="false"/>
            <w:dstrike w:val="false"/>
            <w:color w:val="000000"/>
            <w:sz w:val="20"/>
            <w:u w:val="none"/>
            <w:effect w:val="none"/>
          </w:rPr>
          <w:t>Mine Safety Disclosures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0335"/>
                <wp:effectExtent l="0" t="0" r="0" b="0"/>
                <wp:wrapNone/>
                <wp:docPr id="118" name="Frame10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99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5. </w:t>
      </w:r>
      <w:hyperlink w:anchor="ifaf54775e85441fc836f60bc7c4f1464_34">
        <w:r>
          <w:rPr>
            <w:rStyle w:val="InternetLink"/>
            <w:rFonts w:ascii="Trade Gothic;sans-serif" w:hAnsi="Trade Gothic;sans-serif"/>
            <w:b/>
            <w:strike w:val="false"/>
            <w:dstrike w:val="false"/>
            <w:color w:val="000000"/>
            <w:sz w:val="20"/>
            <w:u w:val="none"/>
            <w:effect w:val="none"/>
          </w:rPr>
          <w:t>Market for Registrant's Common Equity, Related Stockholder Matters and Issuer Purchases of Equity Securities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Market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common stock is traded on the Nasdaq Global Select Market under the symbol “SGP” and has been publicly traded since February 6, 2026. Prior to this time, there was no public market for our common stock.</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Holders of Record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March 1, 2026, there were approximately 46 registered holders of record of our common stock. This number of record holders does not include stockholders whose shares may be held in “nominee” or “street” name.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Dividend Policy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never declared or paid any cash dividends on our capital stock. We currently intend to retain all available funds and any future earnings, if any, to fund the development and expansion of our business, and therefore we do not anticipate paying cash dividends on our common stock in the foreseeable future. Any future determination to pay dividends will be at the discretion of our board of directors and will depend on our results of operations, financial condition, capital requirements, and other factors deemed relevant by our board of directors.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Equity Compensation Plans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information required by this Item regarding equity compensation plans is incorporated by reference to the information set forth in Part III, Item 12 of this Annual Report.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Use of Proceeds from our Initial Public Offering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February 9, 2026, we completed our IPO, in which we issued and sold 10,781,250 shares of our common stock, at a price to the public of $16.00 per share. The net proceeds to the Company from the IPO were approximately $156.1 million, after deducting underwriting fees and offering costs. All of the shares of common stock issued and sold in our IPO were registered under the Securities Act, pursuant to a registration statement on Form S-1 (File No. 333-292779), which was declared effective by the SEC on January 30, 2025. Jefferies LLC, Leerink Partners LLC, Citigroup Global Markets Inc. and Stifel, Nicolaus &amp; Company, Incorporated acted as representatives of the several underwriters of the IPO. No offering expenses were paid directly or indirectly to any of our directors or officers (or their associates) or persons owning 10% or more of any class of our equity securities or to any other affiliates.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has been no material change in the intended use of proceeds from our IPO as described in our prospectus dated February 5, 2026 (File No. 333-292779), as filed with the SEC on February 6, 2026 pursuant to Rule 424(b)(4) under the Securities Act.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Recent Sales of Unregistered Securities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Set forth below is information regarding shares of our common stock and preferred stock issued and stock options granted by us during the period covered by this Annual Report that were not registered under the Securities Act. Also included is the consideration, if any, received by us for such shares and options and information relating to the section of the Securities Act, or rule of the SEC, under which exemption from registration was claimed.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March 2025, we issued and sold an aggregate of 4,933,589 shares of our Series C-2 redeemable convertible preferred stock at a purchase price of $10.14 per share for an aggregate purchase price of approximately $50.0 million. In May 2025 and June 2025, we issued and sold an aggregate of 5,799,465 shares of our Series D redeemable convertible preferred stock at a purchase price of $13.34 per share for an aggregate purchase price of approximately $77.3 million. Each share of our Series C-2 redeemable convertible preferred stock and Series D redeemable convertible preferred stock converted into shares of our common stock immediately prior to the closing of our the IPO.</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January 1, 2025 through December 31, 2025, we granted stock options to purchase an aggregate of 2,133,622 shares of common stock upon the exercise of options under our 2019 Plan at exercise prices per share ranging from $2.18 to $10.55.</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From January 1, 2025 through December 31, 2025, we issued and sold to certain employees and other service providers of ours an aggregate of 181,629 shares of common stock upon the exercise of options under our 2019 Plan at exercise prices per share ranging from $0.35 to $2.41.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0335"/>
                <wp:effectExtent l="0" t="0" r="0" b="0"/>
                <wp:wrapNone/>
                <wp:docPr id="119" name="Frame10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Issuer Repurchases of Equity Securities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6. </w:t>
      </w:r>
      <w:hyperlink w:anchor="ifaf54775e85441fc836f60bc7c4f1464_37">
        <w:r>
          <w:rPr>
            <w:rStyle w:val="InternetLink"/>
            <w:rFonts w:ascii="Trade Gothic;sans-serif" w:hAnsi="Trade Gothic;sans-serif"/>
            <w:b/>
            <w:strike w:val="false"/>
            <w:dstrike w:val="false"/>
            <w:color w:val="000000"/>
            <w:sz w:val="20"/>
            <w:u w:val="none"/>
            <w:effect w:val="none"/>
          </w:rPr>
          <w:t>[Reserved]</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7. </w:t>
      </w:r>
      <w:hyperlink w:anchor="ifaf54775e85441fc836f60bc7c4f1464_40">
        <w:r>
          <w:rPr>
            <w:rStyle w:val="InternetLink"/>
            <w:rFonts w:ascii="Trade Gothic;sans-serif" w:hAnsi="Trade Gothic;sans-serif"/>
            <w:b/>
            <w:strike w:val="false"/>
            <w:dstrike w:val="false"/>
            <w:color w:val="000000"/>
            <w:sz w:val="20"/>
            <w:u w:val="none"/>
            <w:effect w:val="none"/>
          </w:rPr>
          <w:t>Management's Discussion and Analysis of Financial Condition and Results of Operations</w:t>
        </w:r>
      </w:hyperlink>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The following management’s discussion and analysis of financial condition and results of operations should be read in conjunction with our financial statements and the related notes to those statements and other financial information included elsewhere in this Annual Report. Our historical results are not necessarily indicative of the results that may be expected for any period in the future.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in the “Risk Factors” section and elsewhere in this Annual Report. Please also see the section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Overview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 late-stage biopharmaceutical company dedicated to transforming the treatment paradigm for patients living with chronic eye conditions through long-acting, sustained drug delivery of approved medicines. Our mission is to significantly improve the lives of patients with chronic eye conditions by developing durable drug delivery solutions that can empower patients and surgeons with confidence in long-term disease control and vision preservation.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Bimatoprost Drug Pad-IOL System (BIM-IOL System), comprising novel, proprietary drug pads attached to our intraocular lens (IOL), is designed to be implanted during routine cataract surgery to reduce elevated intraocular pressure (IOP) in patients who have either open-angle glaucoma (OAG) or ocular hypertension (OHT). The BIM-IOL System is designed to consistently deliver three years of bimatoprost, a prostaglandin analog (PGA) approved for topical use by the U.S. Food &amp; Drug Administration (FDA) in 2001 for the reduction of elevated IOP in patients with OAG or OHT. We are also developing a non-IOL-based, ring-shaped, sustained-release implant with bimatoprost, which we believe could be implanted in a standalone procedure, enable retreatment of patients who have received the BIM-IOL System, and offer extended care to patients with OAG or OHT who already received a prior cataract surgery (these patients who have had their IOLs replaced with artificial IOLs are referred to as pseudophakes or pseudophakic patients).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our first-in-human (FIH) feasibility clinical trial, evaluable patients who received the BIM-IOL System achieved a mean IOP reduction of 37% at 36 months with no product-related adverse events (AEs). 95% of evaluable patients were off all topical IOP-lowering drops at 36 months, which we believe highlights the potential for long-term independence from such medications. In our Phase 1/2 multicenter, randomized, controlled trial, which is evaluating the safety and efficacy of the BIM-IOL System, patients who received the BIM-IOL System in the 78 mcg and 39 mcg dose groups achieved mean IOP reductions of 37% and 36%, respectively, at three months and sustained similar rates of mean IOP reduction at twelve months. 97% of treated patients were off topical IOP-lowering drops at three and twelve months, and the BIM-IOL System was observed to be well tolerated at both three and twelve months. In July 2025, we initiated two registrational Phase 3 trials, each expected to enroll approximately 400 patients across 45 sites. We expect to complete enrollment in 2027 and, pending successful Phase 3 results, we plan to submit a 505(b)(2) New Drug Application (NDA) to the FDA in 2028. There is no guarantee that our trials will produce positive results or be consistent with past trial results, and FDA approval is not guaranteed and the regulatory process may take longer than anticipated.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0335"/>
                <wp:effectExtent l="0" t="0" r="0" b="0"/>
                <wp:wrapNone/>
                <wp:docPr id="120" name="Frame10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color w:val="000000"/>
          <w:sz w:val="19"/>
        </w:rPr>
        <w:t>The BIM-IOL System is designed to address key limitations of current glaucoma care by enabling all cataract surgeons, not just those trained in MIGS, to treat elevated IOP when performing their routine cataract procedures, thereby reducing the reliance on patient adherence to topical medications in managing IOP. The BIM-IOL System is designed for long-acting, sustained delivery of bimatoprost over three years, which we believe can reduce or eliminate the need for daily topical medications. In addition, we believe our BIM-IOL System has the potential to triple the number of cataract surgeons who treat OAG or OHT routinely at the time of cataract surgery by providing a solution that seamlessly integrates into the existing procedural workflow. This integration of therapy at the time of cataract surgery–one of the most frequently performed outpatient procedures in ambulatory surgery centers (ASCs) in the United States–</w:t>
      </w:r>
      <w:r>
        <w:rPr>
          <w:rFonts w:ascii="Trade Gothic;sans-serif" w:hAnsi="Trade Gothic;sans-serif"/>
          <w:b w:val="false"/>
          <w:color w:val="000000"/>
          <w:sz w:val="12"/>
        </w:rPr>
        <w:t>20</w:t>
      </w:r>
      <w:r>
        <w:rPr>
          <w:color w:val="000000"/>
        </w:rPr>
        <w:t>–</w:t>
      </w:r>
      <w:r>
        <w:rPr>
          <w:rFonts w:ascii="Trade Gothic;sans-serif" w:hAnsi="Trade Gothic;sans-serif"/>
          <w:b w:val="false"/>
          <w:color w:val="000000"/>
          <w:sz w:val="19"/>
        </w:rPr>
        <w:t>can also save patients from having to make additional appointments with glaucoma specialists.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Since our inception, we have devoted substantially all of our resources to the research and development of our product candidates by conducting clinical trials and preclinical studies, building our novel drug delivery technology (the SpyGlass Platform), and recruiting management and technical staff to support these operations.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In February 2026, we completed our initial public offering (IPO), in which we issued and sold 10,781,250 shares of our common stock, which includes the exercise in full of the underwriters’ option to purchase 1,406,250 additional shares of our common stock, at a price to the public of $16.00 per share. The aggregate gross proceeds from the offering were $172.5 million, before deducting underwriting discounts and commissions and other offering costs.</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our IPO, we funded our operations primarily through private placements of our common stock and redeemable convertible preferred stock, including the following financings during the periods presented: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May 2025 and June 2025, we issued and sold an aggregate of 5,799,465 shares of our Series D redeemable convertible preferred stock at a purchase price of $13.34 per share for an aggregate purchase price of approximately $77.3 million.</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March 2025, we issued and sold an aggregate of 4,933,589 shares of our Series C-2 redeemable convertible preferred stock at a purchase price of $10.14 per share for an aggregate purchase price of approximately $50.0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not generated any revenue from product sales and we have incurred recurring losses since our inception. Our net losses were $39.9 million and $29.2 million for the years ended December 31, 2025 and 2024, respectively. As of December 31, 2025, we had an accumulated deficit of $104.7 million. We anticipate that our operating expenses and capital expenditures will increase substantially with our ongoing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not generate any revenue from product sales unless and until we successfully complete clinical development and obtain regulatory approval for one or more of our product candidates. If we obtain regulatory approval for any of our product candidates, we expect to incur significant expenses related to developing our internal commercialization capability to support product sales, marketing, and distribution. As a result, we will need substantial additional funding to support our operating activities as we advance our product candidates through clinical development, seek regulatory approval, and prepare for and, if any of our product candidates are approved, proceed to commercialization.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we had cash and cash equivalents and short-term investments of $107.4 million. We believe that the net proceeds from our IPO, together with our existing cash and cash equivalents and short-term investments at December 31, 2025, will be sufficient to fund our operating expenses and capital expenditure requirements through 2028. See “—Liquidity and Capital Resources.”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Key Trends and Factors Affecting Comparability Between Periods</w:t>
      </w:r>
    </w:p>
    <w:p>
      <w:pPr>
        <w:pStyle w:val="TextBody"/>
        <w:bidi w:val="0"/>
        <w:spacing w:lineRule="auto" w:line="26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have built out, and are continuing to build out, our research and development team, and our research and development costs increased in 2025, relative to 2024, and we expect our research and development costs to continue to increase in 2026, relative to 2025, as a result of significant expenses related to the Phase 1/2 and Phase 3 trials. See Part I, Item I (Business) of this Annual Report for more information about the Phase 1/2 and Phase 3 trials.</w:t>
      </w:r>
    </w:p>
    <w:p>
      <w:pPr>
        <w:pStyle w:val="TextBody"/>
        <w:bidi w:val="0"/>
        <w:spacing w:lineRule="auto" w:line="288" w:before="0" w:after="0"/>
        <w:jc w:val="left"/>
        <w:rPr/>
      </w:pPr>
      <w:r>
        <w:rPr>
          <w:rFonts w:ascii="Trade Gothic;sans-serif" w:hAnsi="Trade Gothic;sans-serif"/>
          <w:b w:val="false"/>
          <w:color w:val="000000"/>
          <w:sz w:val="11"/>
        </w:rPr>
        <w:t>20</w:t>
      </w:r>
      <w:r>
        <w:rPr>
          <w:color w:val="000000"/>
        </w:rPr>
        <w:t xml:space="preserve">     </w:t>
      </w:r>
      <w:r>
        <w:rPr>
          <w:rFonts w:ascii="Trade Gothic;sans-serif" w:hAnsi="Trade Gothic;sans-serif"/>
          <w:b w:val="false"/>
          <w:color w:val="000000"/>
          <w:sz w:val="17"/>
        </w:rPr>
        <w:t>Based on 2025 data taken from DefinitiveHealthcare.com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0335"/>
                <wp:effectExtent l="0" t="0" r="0" b="0"/>
                <wp:wrapNone/>
                <wp:docPr id="121" name="Frame10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expect that general and administrative costs will increase in the future as we expand our operating activities.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As a public company, our expenses will increase from prior years as a privately held company, including (i) costs to comply with the rules and regulations of the U.S. Securities and Exchange Commission (SEC) and those of The Nasdaq Stock Market (Nasdaq), (ii) legal, accounting and other professional services, (iii) insurance, (iv) investor relations activities, and (v) other administrative and professional services.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University of Colorado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2020, we entered into a license agreement (as amended, the License Agreement) with the Regents of the University of Colorado (CU), pursuant to which we obtained an exclusive, royalty-bearing, sublicensable, worldwide license under a patent application co-owned by CU and us relating to an intraocular drug dispenser and all patents claiming priority to such patent to develop, manufacture, and commercialize products for use in the treatment of various ophthalmic diseases. We have the right to grant sublicenses to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consideration for the rights granted by the License Agreement, we paid a one-time, non-refundable $0.1 million license fee in conjunction with the second amendment to the License Agreement on March 22, 2023, which was recorded as a research and development expense. We are also required to reimburse CU for costs incurred in applying and maintaining patents, which are recorded as research and development expense as incurred.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License Agreement, we are required to pay to CU an annual fee of $0.1 million, which is expensed to research and development. We are also required to pay to CU certain contingent milestone payments of up to $1.1 million for each of the first two licensed products under the License Agreement that achieve certain development and commercialization milestones. The future contingent payments required to be made prior to FDA approval (or equivalent) are considered contingent upon future research and development outcomes and will be expensed to research and development when issuable. If milestones are achieved, the milestone related to FDA approval and any subsequent milestone payments will be capitalized. In addition, upon commercialization of a licensed product as contemplated by the License Agreement, we will be required to pay low single digit royalty payments to CU (as provided in the License Agreement), subject to customary restrictions, which payments are considered contingent consideration and should be recorded when probable or estimable; we will also be required to pay to CU a percentage in the mid-twenties of any sublicense income.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a more detailed description of the License Agreement, see the section titled “Exclusive License Agreement with the Regents of the University of Colorado” in Part I, Item 1 (Business)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Basis of Presentation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balance sheets and statements of operations and comprehensive loss presented herein. The following discussion and analysis are based on our financial statements contained in this Annual Report, which we have prepared in accordance with U.S. generally accepted accounting principles (GAAP). You should read the discussion and analysis together with such financial statements and the related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Components of Statements of Operations and Comprehensive Loss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Operating Expenses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Research and Development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 expenses, which consist primarily of costs associated with our product research and development efforts, are expensed as incurred. Research and development expenses consist primarily of: (i) employee related costs, including salaries, benefits and stock-based compensation expense for employees engaged in research and development activities; (ii) third-party contract costs relating to research, formulation, manufacturing, nonclinical studies and clinical trial activities; (iii) external costs of outside consultants who assist with technology development, regulatory affairs, clinical development and quality assurance; and (iv) allocated facility-related costs.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0335"/>
                <wp:effectExtent l="0" t="0" r="0" b="0"/>
                <wp:wrapNone/>
                <wp:docPr id="122" name="Frame10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General and Administrative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 expenses consist primarily of salaries and related benefits, including stock-based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general and administrative expenses will increase in the future as we expand our operating activities. Additionally, we expect to incur significant additional expenses associated with being a public company that we did not incur as a privately-held company, including (i) costs to comply with the rules and regulations of the SEC and those of Nasdaq, (ii) legal, accounting and other professional services, (iii) insurance, (iv) investor relations activities, and (v) other administrative and professional services.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determined the right of investors to purchase shares of Series C-2 redeemable convertible preferred stock at a future date met the definition of a freestanding instrument as the instrument is legally detachable and separately exercisable (the “Redeemable Convertible Preferred Stock Tranche Liability”) from the concurrently issued shares of Series C-1 redeemable convertible preferred stock. The Redeemable Convertible Preferred Stock Tranche Liability was subject to remeasurement at each balance sheet date, with changes in fair value recognized in other income (expenses) in the statement of operations and comprehensive loss. Upon the closing of the Series C-2 redeemable convertible preferred stock tranche financing in March 2025, the Redeemable Convertible Preferred Stock Tranche Liability was settled.</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Other Income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income (expense) consists of interest income earned on cash and cash equivalents and short-term investments income and changes in fair value to the Redeemable Convertible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Results of Operations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Comparison of the Years Ended December 31, 2025 and 2024</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presents the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1819"/>
        <w:gridCol w:w="1212"/>
        <w:gridCol w:w="1201"/>
        <w:gridCol w:w="238"/>
        <w:gridCol w:w="922"/>
        <w:gridCol w:w="115"/>
        <w:gridCol w:w="115"/>
        <w:gridCol w:w="115"/>
        <w:gridCol w:w="115"/>
        <w:gridCol w:w="238"/>
        <w:gridCol w:w="922"/>
        <w:gridCol w:w="115"/>
        <w:gridCol w:w="109"/>
        <w:gridCol w:w="109"/>
        <w:gridCol w:w="109"/>
        <w:gridCol w:w="226"/>
        <w:gridCol w:w="871"/>
        <w:gridCol w:w="109"/>
        <w:gridCol w:w="109"/>
        <w:gridCol w:w="109"/>
        <w:gridCol w:w="109"/>
        <w:gridCol w:w="284"/>
        <w:gridCol w:w="285"/>
        <w:gridCol w:w="649"/>
      </w:tblGrid>
      <w:tr>
        <w:trPr/>
        <w:tc>
          <w:tcPr>
            <w:tcW w:w="181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For the 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 Change</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expenses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Research and development</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29,183 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19,984 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46 </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General and administrative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12,266 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7,080 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73 </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Total operating expenses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41,449 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27,064 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14,385 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53 </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Loss from operations</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(41,449)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(27,064)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(14,385)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53 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income (expense)</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Interest income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3,106 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1,317 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136 </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redeemable convertible preferred stock tranche liability</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(55)</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Total other income (expense)</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(2,100)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(175)</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color w:val="000000"/>
                <w:sz w:val="19"/>
              </w:rPr>
            </w:pPr>
            <w:r>
              <w:rPr>
                <w:rFonts w:ascii="Trade Gothic;sans-serif" w:hAnsi="Trade Gothic;sans-serif"/>
                <w:b/>
                <w:color w:val="000000"/>
                <w:sz w:val="19"/>
              </w:rPr>
              <w:t>Loss before income tax</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(10,705)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37 </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provision</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N/M</w:t>
            </w:r>
          </w:p>
        </w:tc>
      </w:tr>
      <w:tr>
        <w:trPr/>
        <w:tc>
          <w:tcPr>
            <w:tcW w:w="4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color w:val="000000"/>
                <w:sz w:val="19"/>
              </w:rPr>
            </w:pPr>
            <w:r>
              <w:rPr>
                <w:rFonts w:ascii="Trade Gothic;sans-serif" w:hAnsi="Trade Gothic;sans-serif"/>
                <w:b/>
                <w:color w:val="000000"/>
                <w:sz w:val="19"/>
              </w:rPr>
              <w:t>Net loss and comprehensive loss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(10,705)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37 </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2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Research and Development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 expenses were $29.2 million for the year ended December 31, 2025, an increase of $9.2 million, or 46%, from $20.0 million for the year ended December 31, 2024. As it relates to the BIM-IOL system, there was an increase of $1.4 million in contract research expenses for system development and related FIH, Phase 1/2, and Phase 3 clinical trials as well as a $1.1 million increase in IOL and drug supply. An additional $6.7 million increase was due to headcount and related expenses. Expenditures related to our BIM-IOL program represented substantially all of our research and development expenses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0335"/>
                <wp:effectExtent l="0" t="0" r="0" b="0"/>
                <wp:wrapNone/>
                <wp:docPr id="123" name="Frame10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General and Administrative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 expenses were $12.3 million for the year ended December 31, 2025, an increase of $5.2 million, or 73%, from $7.1 million for the year ended December 31, 2024. The increase was primarily driven by a $1.3 million increase in headcount and related headcount expenses inclusive of facility and travel expenses, and a $3.9 million increase in legal and other professional services.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Other Income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income, net was $1.6 million for the year ended December 31, 2025, an increase of $3.7 million, or (175)%, from $2.1 million in other expenses, net for the year ended December 31, 2024. The increase was primarily driven by a $1.8 million increase in interest from our cash and cash equivalents and short-term investments and a $1.9 million decrease in loss in the change in fair value of Redeemable Convertible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Liquidity and Capital Resources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incurred net losses in each year since inception and, as of December 31, 2025, we had an accumulated deficit of $104.7 million. Our net losses were $39.9 million and $29.2 million for the years ended December 31, 2025 and 2024, respectively. These losses have resulted principally from costs incurred in connection with research and development of our product candidates by conducting preclinical studies and clinical trials, building the SpyGlass Platform, and recruiting management and technical staff to support these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February 2026, we completed our initial public offering (IPO), in which we issued and sold 10,781,250 shares of our common stock, which includes the exercise in full of the underwriters’ option to purchase 1,406,250 additional shares of our common stock, at a price to the public of $16.00 per share. The aggregate gross proceeds from the offering were $172.5 million, before deducting underwriting discounts and commissions and other offering costs.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Prior to our IPO, we funded our operations primarily through private placements of our common stock and redeemable convertible preferred stock, including the following financings during the periods presented:</w:t>
      </w:r>
    </w:p>
    <w:p>
      <w:pPr>
        <w:pStyle w:val="TextBody"/>
        <w:bidi w:val="0"/>
        <w:spacing w:before="0" w:after="0"/>
        <w:jc w:val="left"/>
        <w:rPr/>
      </w:pPr>
      <w:r>
        <w:rPr/>
      </w:r>
    </w:p>
    <w:p>
      <w:pPr>
        <w:pStyle w:val="TextBody"/>
        <w:bidi w:val="0"/>
        <w:spacing w:lineRule="auto" w:line="288" w:before="0" w:after="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May 2025 and June 2025, we issued and sold an aggregate of 5,799,465 shares of our Series D redeemable convertible preferred stock at a purchase price of $13.34 per share for an aggregate purchase price of approximately $77.3 million.</w:t>
      </w:r>
    </w:p>
    <w:p>
      <w:pPr>
        <w:pStyle w:val="TextBody"/>
        <w:bidi w:val="0"/>
        <w:spacing w:lineRule="auto" w:line="288" w:before="0" w:after="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March 2025, we issued and sold an aggregate of 4,933,589 shares of our Series C-2 redeemable convertible preferred stock at a purchase price of $10.14 per share for an aggregate purchase price of approximately $50.0 million.</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to incur significant and increasing expenses and operating losses for the foreseeable future due to the cost of research and development, regulatory prosecution for our product candidates, and building our commercial infrastructure, if products are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inception through the date of this Annual Report, we have received funding gross proceeds of $0.7 million from our initial seed financing, $6.0 million from the sale of Series A redeemable convertible preferred stock, $27.5 million from the sale of Series B redeemable convertible preferred stock, $40.0 million from the sale of Series C-1 redeemable convertible preferred stock, $50.0 million from the sale of Series C-2 redeemable convertible preferred stock, $77.3 million from the sale of Series D redeemable convertible preferred stock, and $172.5 million from the sale of common stock in our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0335"/>
                <wp:effectExtent l="0" t="0" r="0" b="0"/>
                <wp:wrapNone/>
                <wp:docPr id="124" name="Frame10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Cash Flows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summarizes our cash flows for the periods presented:</w:t>
      </w:r>
    </w:p>
    <w:tbl>
      <w:tblPr>
        <w:tblW w:w="7496" w:type="dxa"/>
        <w:jc w:val="left"/>
        <w:tblInd w:w="0" w:type="dxa"/>
        <w:tblLayout w:type="fixed"/>
        <w:tblCellMar>
          <w:top w:w="28" w:type="dxa"/>
          <w:left w:w="28" w:type="dxa"/>
          <w:bottom w:w="28" w:type="dxa"/>
          <w:right w:w="28" w:type="dxa"/>
        </w:tblCellMar>
      </w:tblPr>
      <w:tblGrid>
        <w:gridCol w:w="1533"/>
        <w:gridCol w:w="1345"/>
        <w:gridCol w:w="1351"/>
        <w:gridCol w:w="308"/>
        <w:gridCol w:w="1170"/>
        <w:gridCol w:w="139"/>
        <w:gridCol w:w="139"/>
        <w:gridCol w:w="139"/>
        <w:gridCol w:w="139"/>
        <w:gridCol w:w="308"/>
        <w:gridCol w:w="729"/>
        <w:gridCol w:w="196"/>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For the 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cash (used in) provided by:</w:t>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activities</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(32,701)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(22,027)</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Investing activities</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(11,794)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22,261 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Financing activities</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124,585 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185 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increase in cash and cash equivalents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80,090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419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Used in Operating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net cash used in operating activities primarily results from our net loss adjusted for non-cash expenses, changes in working capital components, amounts due to contract research organizations to conduct our clinical programs, manufacturing of drug product and employee-related expenditures for research and development and general and administrative activities. Our cash flows from operating activities will continue to be affected by spending to develop and pursue regulatory approval for our product candidates and commercialization activities, if approval is obtained. Our cash flows will also be affected by other operating and general administrative activities, including operating as a public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the year ended December 31, 2025, cash used in operating activities was $32.7 million and resulted from our net loss of $39.9 million, offset by adjustments to reconcile net loss to cash and changes in short term assets and liabilities of $7.2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the year ended December 31, 2024, cash used in operating activities was $22.0 million and resulted from our net loss of $29.2 million, offset by adjustments to reconcile net loss to cash and changes in short term assets and liabilities of $7.2 million.</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Used in Investing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used in investing activities for the year ended December 31, 2025 was $11.8 million and primarily related to the purchase of $17.0 million of short-term investments and $0.8 million of property and equipment, offset by the redemption of $6.0 million of short-term investments.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provided by investing activities for the year ended December 31, 2024 was $22.3 million and primarily related to the redemption of $44.9 million of short-term investments, offset by the purchase of $20.6 million of short-term investments, as well as the purchase of $2.0 million of property and equipment.</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Provided by Financing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provided by financing activities for the year ended December 31, 2025 was $124.6 million and primarily related to $50.0 million in net cash proceeds from the sale of Series C-2 redeemable convertible preferred stock, $77.1 million in net cash proceeds from the sale of Series D redeemable convertible preferred stock, and proceeds of $0.2 million from the exercise of stock options, offset by repurchase of common stock of $1.5 million and payments for deferred financing costs of $1.2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provided by financing activities for the year ended December 31, 2024 includes $0.2 million from the exercise of stock options.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Future Funding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that the net proceeds from our IPO, together with our existing cash and cash equivalents and short-term investments at December 31, 2025, will be sufficient to fund our operating expenses and capital expenditure requirements through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expend our capital resources sooner than we currently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0335"/>
                <wp:effectExtent l="0" t="0" r="0" b="0"/>
                <wp:wrapNone/>
                <wp:docPr id="125" name="Frame11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need substantial additional capital to develop our product candidates and fund operations for the foreseeable future. Our future capital requirements will depend on many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timing, rate of progress, and costs of our clinical trials for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number and scope of clinical programs we decide to pursue;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timing, and outcome of preparing for and undergoing regulatory review of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and timing of manufacturing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of preparing, filing, and prosecuting patent applications, maintaining and enforcing our intellectual property rights, and defending intellectual property-related claims;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terms and timing of establishing and maintaining collaborations, licenses, and other similar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any milestone and royalty payments to our existing or future suppliers, collaborators, or licensors;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efforts to enhance operational systems and our ability to attract, hire, and retain qualified personnel, including personnel to support the development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associated with operating as a public company;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acquire or in-license other product candidates and technologies;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enter into licensing or collaboration arrangements for any of our programs;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and timing of future commercialization activities, including manufacturing, marketing, sales, and distribution of our product candidates, if they receive marketing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Until such time as we can generate significant revenue from sales of our product candidates, if ever,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may be diluted, and the terms of these securities may include liquidation or other preferences and anti-dilution protections that could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which could adversely impact our ability to conduct our business, and may require the issuance of warrants, which could potentially dilute the ownership interests of our stockholders. If we raise funds through collaborations, or other similar arrangements with third parties, we may have to relinquish valuable rights to our technologies, future revenue streams, research programs, or product candidates or may have to grant licenses on terms that may not be favorable to us and/or may reduce the value of our common stock.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Material Cash Requirements from Contractual Obligations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entered into two leases for 22,592 square feet of office and lab space in Aliso Viejo, California pursuant to a lease that expires not later than July 31, 2026. We have entered into a lease for a new headquarters in Irvine, California consisting of approximately 32,621 rentable square feet of office and laboratory space for a term of approximately 84 months commencing on July 1, 2026. Payments under such leases, net of tenant improvement incentive reimbursements were $0.2 million and $0.7 million for the years ended December 31, 2025 and 2024, respectively. See “Note 7 - Commitments and Contingencies” to our audited financial statements included elsewhere in this Annual Report for details related to future lease payments.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“Overview — University of Colorado License Agreement” above for a description of the License Agreement and our obligations thereunder.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we have contracts with various organizations to conduct research and development activities, including clinical trial organizations to manage clinical trial activities and manufacturing companies to manufacture the drug product used in the clinical trials. We can modify the scope of the services under these research and development contracts and cancel these upon written notice. In the event of a cancellation, we would be liable for the cost and expenses incurred to date as well as any close out costs of the service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0335"/>
                <wp:effectExtent l="0" t="0" r="0" b="0"/>
                <wp:wrapNone/>
                <wp:docPr id="126" name="Frame11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Critical Accounting Estimates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financial statements are prepared in accordance with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Stock-Based Compensation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Stock-based compensation expense represents the cost of the grant date fair value of equity awards recognized over the requisite service period of the awards (usually the vesting period) on a straight-line basis. We estimate the fair value of equity awards using the Black-Scholes option pricing model and recognize forfeitures as they occur. Estimating the fair value of equity awards as of the grant date using valuation models, such as the Black-Scholes option pricing model, is affected by assumptions regarding a number of variables, including the risk-free interest rate, the expected stock price volatility, the expected term of stock options, the expected dividend yield and the fair value of the underlying common stock on the date of grant. Changes in the assumptions can materially affect the fair value and ultimately how much stock-based compensation expense is recognized. These inputs are subjective and generally require significant analysis and judgment to develop. See “Note 6 - Equity Based Compensation” to our audited financial statements included elsewhere in this Annual Report for information concerning specific assumptions we used in applying the Black-Scholes option pricing model to determine the estimated fair value of our stock options granted, if any, during 2025 and 2024.</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Common Stock Valuations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required to estimate the fair value of the common stock underlying our equity awards when performing fair value calculations. Prior to the completion of our IPO, the fair value of the common stock underlying our equity awards was determined on the grant date by our board of directors. All options to purchase shares of our common stock are intended to be granted with an exercise price per share no less than the fair value per share of our common stock underlying those options on the date of grant, based on the information known to us on the date of grant. In the absence of a public trading market for our common stock, on each grant date we developed an estimate of the fair value of our common stock in order to determine an exercise price for the option grants.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the completion of our IPO, determinations of the fair value of our common stock included the consideration of valuations prepared by independent third-party valuation specialists using methodologies, approaches and assumptions consistent with the American Institute of Certified Public Accountants Accounting and Valuation Guide: Valuation of Privately Held Company Equity Securities Issued as Compensation (the Practice Aid). The Practice Aid prescribes several valuation approaches for setting the value of an enterprise, such as the cost, income and market approaches, and various methodologies for allocating the value of an enterprise to its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accordance with the Practice Aid, during the period of time leading up to our IPO, we used a hybrid method, which is a combination of the Option Pricing Method (OPM) and the Probability-Weighted Expected Return Method (PWERM) for purposes of allocating the value of the enterprise to our common stock. Under the OPM, shares are valued by creating a series of call options, representing the present value of the expected future returns to the stockholders, with exercise prices based on the liquidation preferences and conversion terms of each equity class. The estimated fair values of the preferred and common stock are inferred by analyzing these options. The PWERM employs additional information not used in the OPM, including various market approach calculations depending upon the likelihood of various discrete future liquidity scenarios, such as an IPO or sale of our company, as well as the probability of remaining a private company. In a hybrid method, various exit scenarios are analyzed.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board of directors considered various objective and subjective factors, along with input from management, to determine the fair value of our common stock,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valuations of our common stock performed by management who relied upon independent third-party valuation specialists;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stage of development and business strategy, including the status of research and development efforts of our programs and product candidates, and the material risks related to our business and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0335"/>
                <wp:effectExtent l="0" t="0" r="0" b="0"/>
                <wp:wrapNone/>
                <wp:docPr id="127" name="Frame11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results of operations and financial position, including our levels of available capital resources;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valuation of publicly traded companies in the life sciences and biotechnology sectors, as well as recently completed mergers and acquisitions of peer companies;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lack of marketability of our common stock as a private company;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prices of our redeemable convertible preferred stock sold to investors in arm’s length transactions and the rights, preferences, and privileges of our redeemable convertible preferred stock relative to those of our common stock;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likelihood of achieving a liquidity event for the holders of our common stock, such as an IPO or a sale of our company, given prevailing market conditions;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trends and developments in our industry;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external market conditions affecting the life sciences and biotechnology industry sectors.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generally estimated the equity value of our business using a market approach. For each of the valuations conducted as of May 24, 2019, November 30, 2020, November 30, 2021, June 30, 2022, July 7, 2023, June 30, 2024, December 31, 2024, March 31, 2025, May 30, 2025 and September 30, 2025, we estimated our equity value under a going concern scenario, in which our clinical trial results would be sufficiently satisfactory to allow us to continue as a going concern as a private company, as follows: (a) for each of the valuations conducted as of June 30, 2024, December 31, 2024 and March 31, 2025, we used the precedent transaction method to determine equity value; (b) for each of the valuations conducted as of November 30, 2021 and June 30, 2022, we used two approaches under the guideline public company method to determine equity value; (c) for each of the valuations conducted as of May 24, 2019, November 30, 2020 and July 7, 2023, we determined equity value by back-solving using an option pricing method, based on the price of shares to be offered in our Series A redeemable convertible preferred stock financing, Series B redeemable convertible preferred stock financing and Series C redeemable convertible preferred stock financing, respectively; and (d) for each of the valuations conducted as of May 30, 2025 and September 30, 2025, we determined equity value by utilizing the hybrid method by (1) back-solving using an option pricing method based on the price of shares to be offered in our Series D redeemable convertible preferred stock financing and (2) assuming an IPO under the probability-weighted expected return method and weighting the likelihood of each method. The precedent transaction method considers the sale price of shares in a recent financing and then back-solves using an option pricing model that gives consideration to our capitalization structure and rights of the preferred and common stockholders. The guideline public company method compares the subject company with guideline-publicly traded companies to determine equity value. The two approaches we used under the guideline public company method were: (i) extrapolating valuation multiples based on the cash free market value of invested capital of guideline companies to arrive at an equity value for our company (after adding back cash and subtracting interest bearing debt); and (ii) “rolling forward” our equity value from the time of the last valuation, based on changes in the share values of the guideline companies. In each instance above, we applied a discount for lack of marketability, and then allocated equity value to common stock based on the OPM. We believed the option pricing method was most appropriate for allocating equity value in light of the uncertainty associated with both the timing and type of any future exit scenario, based on our stage of development and other relevant factors.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Our estimate of fair value is reviewed and approved by our board of directors.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valuations after the completion of our IPO, the fair value of each share of underlying common stock is based on the closing price of our common stock as reported on the date of grant on Nasdaq.</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Valuation of 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July 2023 stock purchase agreement for our Series C-1 redeemable convertible preferred stock and Series C-2 redeemable convertible preferred stock obligated the investors thereunder to participate in a subsequent offering of Series C-2 redeemable convertible preferred stock upon certain conditions being met, which we refer to as the Redeemable Convertible Preferred Stock Tranche Rights. We determined that the Redeemable Convertible Preferred Stock Tranche Rights were required to be recorded as liabilities because they are freestanding financial instruments that would require us to transfer assets upon exercises of the right. The Redeemable Convertible Preferred Stock Tranche Rights met the definition of a freestanding financial instrument because they are legally detachable and separately exercisable from the Series C-2 redeemable convertible preferred stock. The Redeemable Convertible Preferred Stock Tranche Rights were classified as a liability and initially recorded at fair value upon the issuance date of the right. The liabilities are remeasured to fair value at each reporting date until settled, and changes in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0335"/>
                <wp:effectExtent l="0" t="0" r="0" b="0"/>
                <wp:wrapNone/>
                <wp:docPr id="128" name="Frame11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109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value of the Redeemable Convertible Preferred Stock Tranche Right Liability is recognized as a component of other income (expenses) in our statements of operations and comprehensive loss.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fair value of the Redeemable Convertible Preferred Stock Tranche Right Liability was determined based on significant inputs not observable in the market, which represented a level 3 measurement within the fair value hierarchy. The fair value of the tranche right liabilities was determined using an option pricing model in addition to the Monte Carlo Simulation model, which considered the estimated fair value of the Series C-1 redeemable convertible preferred stock and Series C-2 redeemable convertible preferred stock as of each valuation date, the risk-free interest rate, volatility, expected dividends, estimated time to exit, and estimated time to the tranche closing. The most significant assumption in the valuation model impacting the fair value of the Series C-2 Redeemable Convertible Preferred Stock Tranche Liability is the fair value of our company equity as of each measurement date, which provides the most significant output of the valuation model, which is our Series C-1 and Series C-2 redeemable convertible preferred stock as of each measurement date. We utilized individual term-specific risk-free interest rates for each of the option pricing model and the Monte Carlo Simulation model. The risk-free interest rates were determined by reference to the U.S. Treasury yield curve for time periods approximately equal to the estimated time to exit and the remaining estimated time period of achievement of the specified milestones underlying the Redeemable Convertible Preferred Stock Tranche Rights, respectively. The volatility was based on the historical volatility of publicly traded peer companies. The expected dividend yield is based on the fact that we have never paid cash dividends and do not expect to pay any cash dividends in the foreseeable future. Changes in these inputs could have a significant impact on the fair value of the Series C-2 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determined the fair value per share of the underlying Series C-2 redeemable convertible preferred stock by taking into consideration the most recent sales of our Redeemable Convertible Preferred Stock, results obtained from third-party valuations and additional factors we deemed relevant.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the settlement date in March 2025, the fair value of our Series C-2 Preferred Stock was $11.12 per share.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2024, the fair value of each Series C-2 Preferred Stock was $10.26 per share. The risk-free interest rate is determined by reference to the U.S. Treasury yield curve for time periods approximately equal to the remaining estimated time period of achievement of the specified milestones underlying the Redeemable Convertible Preferred Stock Tranche Right.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2023, the fair value of each Series C-2 Preferred Stock was $6.42 per share. The risk-free interest rate is determined by reference to the U.S. Treasury yield curve for time periods approximately equal to the remaining estimated time period of achievement of the specified milestones underlying the Redeemable Convertible Preferred Stock Tranche Right.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Internal Controls and Procedures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preparation of our financial statements for the years ended December 31, 2025 and 2024,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the annual or interim financial statements will not be prevented or detected on a timely basis. If one or more material weaknesses persist or if we fail to establish and maintain effective internal control over financial reporting, our ability to accurately report our financial results could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material weakness that we identified was attributable to control deficiencies related to an insufficient complement of personnel with an appropriate level of technical knowledge for oversight of specialists and to create the proper environment for effective internal control over financial reporting, the lack of an effective risk assessment process, the lack of formalized processes and control activities to support the appropriate segregation of duties over the review of account reconciliations and journal entries, and the lack of monitoring and communication of control processes and relevant accounting policies and procedures. Management is taking steps to remediate the material weakness in our internal control over financial reporting, including hiring additional accounting personnel to assume transaction level responsibilities to appropriately segregate duties between preparers and reviewers.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will be required, pursuant to Section 404(a) of the Sarbanes-Oxley Act,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0335"/>
                <wp:effectExtent l="0" t="0" r="0" b="0"/>
                <wp:wrapNone/>
                <wp:docPr id="129" name="Frame11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financial reporting pursuant to Section 404(b) until the later of the year following our first annual report required to be filed with the SEC, or the date we are no longer an “emerging growth company” if we take advantage of the exemptions contained in the JOBS Act.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Recent Accounting Pronouncements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“Note 2 - Summary of Significant Accounting Policies” to our audited financial statements included elsewhere in this Annual Report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Emerging Growth Company and Smaller Reporting Company Status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an emerging growth company, as defined in the JOBS Act, and we may remain an emerging growth company for up to five years following the closing of our IPO. For so long as we remain an emerging growth company, we are permitted and intend to rely on certain exemptions from various public company disclosure and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In particular, in this Annual Report,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JOBS Act, emerging growth companies can delay adopting new or revised accounting standards issued subsequent to the enactment of the JOBS Act until such time as those standards apply to private companies. We may take advantage of these provisions so long as we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also a “smaller reporting company.”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7A. </w:t>
      </w:r>
      <w:hyperlink w:anchor="ifaf54775e85441fc836f60bc7c4f1464_70">
        <w:r>
          <w:rPr>
            <w:rStyle w:val="InternetLink"/>
            <w:rFonts w:ascii="Trade Gothic;sans-serif" w:hAnsi="Trade Gothic;sans-serif"/>
            <w:b/>
            <w:strike w:val="false"/>
            <w:dstrike w:val="false"/>
            <w:color w:val="000000"/>
            <w:sz w:val="20"/>
            <w:u w:val="none"/>
            <w:effect w:val="none"/>
          </w:rPr>
          <w:t>Quantitative and Qualitative Disclosures About Market Risk</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 smaller reporting company, as defined by Rule 12b-2 under the Exchange Act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8. </w:t>
      </w:r>
      <w:hyperlink w:anchor="ifaf54775e85441fc836f60bc7c4f1464_4398046512509">
        <w:r>
          <w:rPr>
            <w:rStyle w:val="InternetLink"/>
            <w:rFonts w:ascii="Trade Gothic;sans-serif" w:hAnsi="Trade Gothic;sans-serif"/>
            <w:b/>
            <w:strike w:val="false"/>
            <w:dstrike w:val="false"/>
            <w:color w:val="000000"/>
            <w:sz w:val="20"/>
            <w:u w:val="none"/>
            <w:effect w:val="none"/>
          </w:rPr>
          <w:t>Financial Statements and Supplementary Data</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0335"/>
                <wp:effectExtent l="0" t="0" r="0" b="0"/>
                <wp:wrapNone/>
                <wp:docPr id="130" name="Frame11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INDEX TO FINANCIAL STATEMENTS</w:t>
      </w:r>
    </w:p>
    <w:tbl>
      <w:tblPr>
        <w:tblW w:w="9751" w:type="dxa"/>
        <w:jc w:val="left"/>
        <w:tblInd w:w="0" w:type="dxa"/>
        <w:tblLayout w:type="fixed"/>
        <w:tblCellMar>
          <w:top w:w="28" w:type="dxa"/>
          <w:left w:w="28" w:type="dxa"/>
          <w:bottom w:w="28" w:type="dxa"/>
          <w:right w:w="28" w:type="dxa"/>
        </w:tblCellMar>
      </w:tblPr>
      <w:tblGrid>
        <w:gridCol w:w="3316"/>
        <w:gridCol w:w="2914"/>
        <w:gridCol w:w="2920"/>
        <w:gridCol w:w="176"/>
        <w:gridCol w:w="176"/>
        <w:gridCol w:w="249"/>
      </w:tblGrid>
      <w:tr>
        <w:trPr/>
        <w:tc>
          <w:tcPr>
            <w:tcW w:w="3316"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9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Page</w:t>
            </w:r>
          </w:p>
        </w:tc>
      </w:tr>
      <w:tr>
        <w:trPr/>
        <w:tc>
          <w:tcPr>
            <w:tcW w:w="9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f54775e85441fc836f60bc7c4f1464_76">
              <w:r>
                <w:rPr>
                  <w:rStyle w:val="InternetLink"/>
                  <w:rFonts w:ascii="Trade Gothic;sans-serif" w:hAnsi="Trade Gothic;sans-serif"/>
                  <w:b/>
                  <w:color w:val="0000FF"/>
                  <w:sz w:val="19"/>
                  <w:u w:val="single"/>
                </w:rPr>
                <w:t>Report of Independent Registered Public Accounting Firm</w:t>
              </w:r>
            </w:hyperlink>
            <w:r>
              <w:rPr>
                <w:color w:val="000000"/>
              </w:rPr>
              <w:t xml:space="preserve"> </w:t>
            </w:r>
            <w:r>
              <w:rPr>
                <w:rFonts w:ascii="Trade Gothic;sans-serif" w:hAnsi="Trade Gothic;sans-serif"/>
                <w:b/>
                <w:color w:val="000000"/>
                <w:sz w:val="19"/>
              </w:rPr>
              <w:t>(PCAOB ID#: 34)</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af54775e85441fc836f60bc7c4f1464_76">
              <w:r>
                <w:rPr>
                  <w:rStyle w:val="InternetLink"/>
                  <w:rFonts w:ascii="Trade Gothic;sans-serif" w:hAnsi="Trade Gothic;sans-serif"/>
                  <w:b w:val="false"/>
                  <w:color w:val="0000EE"/>
                  <w:sz w:val="20"/>
                  <w:u w:val="single"/>
                </w:rPr>
                <w:t>F-2</w:t>
              </w:r>
            </w:hyperlink>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Financial Statements as of and for the Years Ended December 31, 2025 and 2024</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f54775e85441fc836f60bc7c4f1464_79">
              <w:r>
                <w:rPr>
                  <w:rStyle w:val="InternetLink"/>
                  <w:rFonts w:ascii="Trade Gothic;sans-serif" w:hAnsi="Trade Gothic;sans-serif"/>
                  <w:b w:val="false"/>
                  <w:color w:val="292CFF"/>
                  <w:sz w:val="19"/>
                  <w:u w:val="single"/>
                </w:rPr>
                <w:t>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79">
              <w:r>
                <w:rPr>
                  <w:rStyle w:val="InternetLink"/>
                  <w:rFonts w:ascii="Trade Gothic;sans-serif" w:hAnsi="Trade Gothic;sans-serif"/>
                  <w:b w:val="false"/>
                  <w:color w:val="0000EE"/>
                  <w:sz w:val="20"/>
                  <w:u w:val="single"/>
                </w:rPr>
                <w:t>F-3</w:t>
              </w:r>
            </w:hyperlink>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f54775e85441fc836f60bc7c4f1464_82">
              <w:r>
                <w:rPr>
                  <w:rStyle w:val="InternetLink"/>
                  <w:rFonts w:ascii="Trade Gothic;sans-serif" w:hAnsi="Trade Gothic;sans-serif"/>
                  <w:b w:val="false"/>
                  <w:color w:val="292CFF"/>
                  <w:sz w:val="19"/>
                  <w:u w:val="single"/>
                </w:rPr>
                <w:t>Statements of Operations and Comprehensive Loss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82">
              <w:r>
                <w:rPr>
                  <w:rStyle w:val="InternetLink"/>
                  <w:rFonts w:ascii="Trade Gothic;sans-serif" w:hAnsi="Trade Gothic;sans-serif"/>
                  <w:b w:val="false"/>
                  <w:color w:val="0000EE"/>
                  <w:sz w:val="20"/>
                  <w:u w:val="single"/>
                </w:rPr>
                <w:t>F-4</w:t>
              </w:r>
            </w:hyperlink>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f54775e85441fc836f60bc7c4f1464_85">
              <w:r>
                <w:rPr>
                  <w:rStyle w:val="InternetLink"/>
                  <w:rFonts w:ascii="Trade Gothic;sans-serif" w:hAnsi="Trade Gothic;sans-serif"/>
                  <w:b w:val="false"/>
                  <w:color w:val="292CFF"/>
                  <w:sz w:val="19"/>
                  <w:u w:val="single"/>
                </w:rPr>
                <w:t>Statements of Redeemable Convertible Preferred Stock and Stockholders’ Deficit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85">
              <w:r>
                <w:rPr>
                  <w:rStyle w:val="InternetLink"/>
                  <w:rFonts w:ascii="Trade Gothic;sans-serif" w:hAnsi="Trade Gothic;sans-serif"/>
                  <w:b w:val="false"/>
                  <w:color w:val="0000EE"/>
                  <w:sz w:val="20"/>
                  <w:u w:val="single"/>
                </w:rPr>
                <w:t>F-5</w:t>
              </w:r>
            </w:hyperlink>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f54775e85441fc836f60bc7c4f1464_88">
              <w:r>
                <w:rPr>
                  <w:rStyle w:val="InternetLink"/>
                  <w:rFonts w:ascii="Trade Gothic;sans-serif" w:hAnsi="Trade Gothic;sans-serif"/>
                  <w:b w:val="false"/>
                  <w:color w:val="292CFF"/>
                  <w:sz w:val="19"/>
                  <w:u w:val="single"/>
                </w:rPr>
                <w:t>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88">
              <w:r>
                <w:rPr>
                  <w:rStyle w:val="InternetLink"/>
                  <w:rFonts w:ascii="Trade Gothic;sans-serif" w:hAnsi="Trade Gothic;sans-serif"/>
                  <w:b w:val="false"/>
                  <w:color w:val="0000EE"/>
                  <w:sz w:val="20"/>
                  <w:u w:val="single"/>
                </w:rPr>
                <w:t>F-6</w:t>
              </w:r>
            </w:hyperlink>
          </w:p>
        </w:tc>
      </w:tr>
      <w:tr>
        <w:trPr/>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f54775e85441fc836f60bc7c4f1464_91">
              <w:r>
                <w:rPr>
                  <w:rStyle w:val="InternetLink"/>
                  <w:rFonts w:ascii="Trade Gothic;sans-serif" w:hAnsi="Trade Gothic;sans-serif"/>
                  <w:b w:val="false"/>
                  <w:color w:val="292CFF"/>
                  <w:sz w:val="19"/>
                  <w:u w:val="single"/>
                </w:rPr>
                <w:t>Notes to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4775e85441fc836f60bc7c4f1464_91">
              <w:r>
                <w:rPr>
                  <w:rStyle w:val="InternetLink"/>
                  <w:rFonts w:ascii="Trade Gothic;sans-serif" w:hAnsi="Trade Gothic;sans-serif"/>
                  <w:b w:val="false"/>
                  <w:color w:val="0000EE"/>
                  <w:sz w:val="20"/>
                  <w:u w:val="single"/>
                </w:rPr>
                <w:t>F-8</w:t>
              </w:r>
            </w:hyperlink>
          </w:p>
        </w:tc>
      </w:tr>
      <w:tr>
        <w:trPr/>
        <w:tc>
          <w:tcPr>
            <w:tcW w:w="9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0335"/>
                <wp:effectExtent l="0" t="0" r="0" b="0"/>
                <wp:wrapNone/>
                <wp:docPr id="131" name="Frame11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REPORT OF INDEPENDENT REGISTERED PUBLIC ACCOUNTING FIRM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the stockholders and the board of directors of SpyGlass Pharma, Inc.</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Opinion on the Financial Statements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audited the accompanying balance sheets of SpyGlass Pharma, Inc. (the “Company”) as of December 31, 2025, and 2024, the related statements of operations and comprehensive loss, redeemable convertible preferred stock and stockholders'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Basis for Opinion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 Deloitte &amp; Touche LLP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Costa Mesa, CA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March 26, 2026</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served as the Company’s auditor since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0335"/>
                <wp:effectExtent l="0" t="0" r="0" b="0"/>
                <wp:wrapNone/>
                <wp:docPr id="132" name="Frame11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BALANCE SHEETS</w:t>
      </w:r>
    </w:p>
    <w:tbl>
      <w:tblPr>
        <w:tblW w:w="10205" w:type="dxa"/>
        <w:jc w:val="left"/>
        <w:tblInd w:w="0" w:type="dxa"/>
        <w:tblLayout w:type="fixed"/>
        <w:tblCellMar>
          <w:top w:w="28" w:type="dxa"/>
          <w:left w:w="28" w:type="dxa"/>
          <w:bottom w:w="28" w:type="dxa"/>
          <w:right w:w="28" w:type="dxa"/>
        </w:tblCellMar>
      </w:tblPr>
      <w:tblGrid>
        <w:gridCol w:w="2886"/>
        <w:gridCol w:w="2135"/>
        <w:gridCol w:w="2143"/>
        <w:gridCol w:w="241"/>
        <w:gridCol w:w="1051"/>
        <w:gridCol w:w="109"/>
        <w:gridCol w:w="109"/>
        <w:gridCol w:w="109"/>
        <w:gridCol w:w="109"/>
        <w:gridCol w:w="241"/>
        <w:gridCol w:w="916"/>
        <w:gridCol w:w="156"/>
      </w:tblGrid>
      <w:tr>
        <w:trPr/>
        <w:tc>
          <w:tcPr>
            <w:tcW w:w="2886"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 December 31,</w:t>
            </w:r>
          </w:p>
        </w:tc>
      </w:tr>
      <w:tr>
        <w:trPr/>
        <w:tc>
          <w:tcPr>
            <w:tcW w:w="7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and per share amounts)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16,268 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receivables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423 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715 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108,768 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17,406 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non-current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Property and equipment,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Deferred offering costs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Right-of-use asset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115,866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23,318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Liabilities, Redeemable Convertible Preferred Stock and Stockholders' Deficit</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Current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Accounts payable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Payroll-related accruals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1,282 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672 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liability, current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442 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 tranche liability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7,791 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liability, non-current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11,246 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Commitments and contingencies (Note 7)</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 $.00001 par value; 116,618,581 shares authorized, 20,341,968 and 9,608,914 shares issued and outstanding as of December 31, 2025 and 2024, respectively (aggregate liquidation preference of $200,878 and $73,542 as of December 31, 2025 and 2024,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Stockholders' deficit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ade Gothic;sans-serif" w:hAnsi="Trade Gothic;sans-serif"/>
                <w:b w:val="false"/>
                <w:color w:val="000000"/>
                <w:sz w:val="19"/>
              </w:rPr>
            </w:pPr>
            <w:r>
              <w:rPr>
                <w:rFonts w:ascii="Trade Gothic;sans-serif" w:hAnsi="Trade Gothic;sans-serif"/>
                <w:b w:val="false"/>
                <w:color w:val="000000"/>
                <w:sz w:val="19"/>
              </w:rPr>
              <w:t>Common stock, $.00001 par value; 154,383,336 shares authorized; 2,203,620 and 2,196,423 shares issued and outstanding as of December 31, 2025 and 2024,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Common stock 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4,387 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(64,861)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stockholders' deficit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(98,837)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(60,474)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5"/>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liabilities, redeemable convertible preferred stock and stockholders' deficit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115,866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23,318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0335"/>
                <wp:effectExtent l="0" t="0" r="0" b="0"/>
                <wp:wrapNone/>
                <wp:docPr id="133" name="Frame11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2596"/>
        <w:gridCol w:w="2189"/>
        <w:gridCol w:w="2196"/>
        <w:gridCol w:w="248"/>
        <w:gridCol w:w="1058"/>
        <w:gridCol w:w="112"/>
        <w:gridCol w:w="112"/>
        <w:gridCol w:w="112"/>
        <w:gridCol w:w="112"/>
        <w:gridCol w:w="248"/>
        <w:gridCol w:w="1058"/>
        <w:gridCol w:w="164"/>
      </w:tblGrid>
      <w:tr>
        <w:trPr/>
        <w:tc>
          <w:tcPr>
            <w:tcW w:w="2596"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For the Year Ended December 31,</w:t>
            </w:r>
          </w:p>
        </w:tc>
      </w:tr>
      <w:tr>
        <w:trPr/>
        <w:tc>
          <w:tcPr>
            <w:tcW w:w="6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and per share amounts)</w:t>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expenses</w:t>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29,183 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19,984 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12,266 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7,080 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operating expenses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41,449 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27,064 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Loss from operations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(41,449)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(27,064)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income (expense)</w:t>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Interest income</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redeemable convertible preferred stock tranche liability</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other income (expense)</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(2,100)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Loss before income tax</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(39,869)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(29,164)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provision</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Net loss and comprehensive loss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(39,869)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(29,164)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per share</w:t>
            </w:r>
          </w:p>
        </w:tc>
        <w:tc>
          <w:tcPr>
            <w:tcW w:w="14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common stock outstanding, basic and diluted</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2,217,104 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1,788,211 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per share of common stock, basic and diluted</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(16.31)</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0335"/>
                <wp:effectExtent l="0" t="0" r="0" b="0"/>
                <wp:wrapNone/>
                <wp:docPr id="134" name="Frame11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STATEMENTS OF REDEEMABLE CONVERTIBLE PREFERRED STOCK AND STOCKHOLDERS’ DEFICIT</w:t>
      </w:r>
    </w:p>
    <w:tbl>
      <w:tblPr>
        <w:tblW w:w="13531" w:type="dxa"/>
        <w:jc w:val="left"/>
        <w:tblInd w:w="0" w:type="dxa"/>
        <w:tblLayout w:type="fixed"/>
        <w:tblCellMar>
          <w:top w:w="28" w:type="dxa"/>
          <w:left w:w="28" w:type="dxa"/>
          <w:bottom w:w="28" w:type="dxa"/>
          <w:right w:w="28" w:type="dxa"/>
        </w:tblCellMar>
      </w:tblPr>
      <w:tblGrid>
        <w:gridCol w:w="960"/>
        <w:gridCol w:w="330"/>
        <w:gridCol w:w="331"/>
        <w:gridCol w:w="109"/>
        <w:gridCol w:w="109"/>
        <w:gridCol w:w="109"/>
        <w:gridCol w:w="697"/>
        <w:gridCol w:w="699"/>
        <w:gridCol w:w="246"/>
        <w:gridCol w:w="109"/>
        <w:gridCol w:w="109"/>
        <w:gridCol w:w="109"/>
        <w:gridCol w:w="241"/>
        <w:gridCol w:w="1051"/>
        <w:gridCol w:w="109"/>
        <w:gridCol w:w="109"/>
        <w:gridCol w:w="109"/>
        <w:gridCol w:w="109"/>
        <w:gridCol w:w="109"/>
        <w:gridCol w:w="109"/>
        <w:gridCol w:w="109"/>
        <w:gridCol w:w="630"/>
        <w:gridCol w:w="631"/>
        <w:gridCol w:w="246"/>
        <w:gridCol w:w="109"/>
        <w:gridCol w:w="109"/>
        <w:gridCol w:w="109"/>
        <w:gridCol w:w="268"/>
        <w:gridCol w:w="451"/>
        <w:gridCol w:w="122"/>
        <w:gridCol w:w="109"/>
        <w:gridCol w:w="109"/>
        <w:gridCol w:w="109"/>
        <w:gridCol w:w="241"/>
        <w:gridCol w:w="781"/>
        <w:gridCol w:w="109"/>
        <w:gridCol w:w="109"/>
        <w:gridCol w:w="109"/>
        <w:gridCol w:w="109"/>
        <w:gridCol w:w="241"/>
        <w:gridCol w:w="1081"/>
        <w:gridCol w:w="109"/>
        <w:gridCol w:w="109"/>
        <w:gridCol w:w="109"/>
        <w:gridCol w:w="109"/>
        <w:gridCol w:w="241"/>
        <w:gridCol w:w="94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9,608,914</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72,546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1,752,646</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(35,697)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(32,985)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443,777 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9,608,914</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72,546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2,196,423</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4,387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(64,861)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(60,474)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181,629 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(174,432)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Issuance of Series C-2 redeemable convertible preferred stock, net of issuance costs and tranche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4,933,589 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Issuance of Series D redeemable convertible preferred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5,799,465 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20,341,968</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204,537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2,203,620</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5,893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(104,730)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color w:val="000000"/>
                <w:sz w:val="19"/>
              </w:rPr>
            </w:pPr>
            <w:r>
              <w:rPr>
                <w:rFonts w:ascii="Trade Gothic;sans-serif" w:hAnsi="Trade Gothic;sans-serif"/>
                <w:b/>
                <w:color w:val="000000"/>
                <w:sz w:val="19"/>
              </w:rPr>
              <w:t>(98,837)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0335"/>
                <wp:effectExtent l="0" t="0" r="0" b="0"/>
                <wp:wrapNone/>
                <wp:docPr id="135" name="Frame12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STATEMENTS OF CASH FLOWS</w:t>
      </w:r>
    </w:p>
    <w:tbl>
      <w:tblPr>
        <w:tblW w:w="10205" w:type="dxa"/>
        <w:jc w:val="left"/>
        <w:tblInd w:w="0" w:type="dxa"/>
        <w:tblLayout w:type="fixed"/>
        <w:tblCellMar>
          <w:top w:w="28" w:type="dxa"/>
          <w:left w:w="28" w:type="dxa"/>
          <w:bottom w:w="28" w:type="dxa"/>
          <w:right w:w="28" w:type="dxa"/>
        </w:tblCellMar>
      </w:tblPr>
      <w:tblGrid>
        <w:gridCol w:w="2631"/>
        <w:gridCol w:w="2202"/>
        <w:gridCol w:w="2196"/>
        <w:gridCol w:w="263"/>
        <w:gridCol w:w="1002"/>
        <w:gridCol w:w="118"/>
        <w:gridCol w:w="118"/>
        <w:gridCol w:w="118"/>
        <w:gridCol w:w="118"/>
        <w:gridCol w:w="263"/>
        <w:gridCol w:w="1002"/>
        <w:gridCol w:w="174"/>
      </w:tblGrid>
      <w:tr>
        <w:trPr/>
        <w:tc>
          <w:tcPr>
            <w:tcW w:w="2631"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For the Year Ended December 31,</w:t>
            </w:r>
          </w:p>
        </w:tc>
      </w:tr>
      <w:tr>
        <w:trPr/>
        <w:tc>
          <w:tcPr>
            <w:tcW w:w="7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Cash flows from operating activities</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Adjustments to reconcile net loss to net cash used in operating activities</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Depreciation expense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271 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Loss on disposal of property and equipment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Non-cash lease expense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405 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Gain on lease termination</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1,490 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redeemable convertible preferred stock tranche liability</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Interest receivable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216 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Changes in:</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receivables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(300)</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Prepaid expenses and other current assets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(540)</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non-current assets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(367)</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Accounts payable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1,339 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Payroll-related accruals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673 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Accrued expenses and other current liabilities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332 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liability</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201 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cash used in operating activities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(32,701)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(22,027)</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Cash flows from investing activities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Property and equipment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(789)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(1,991)</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Purchases of short-term investments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(17,001)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(20,630)</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Redemptions of short-term investments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5,996 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44,882 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cash (used in) provided by investing activities</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(11,794)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22,261 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Cash flows from financing activities</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Proceeds from exercise of stock options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185 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Repurchases of common stock</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Gross proceeds from issuance of redeemable convertible preferred stock</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127,336 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Issuance costs of redeemable convertible preferred stock</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Payments for deferred offering cost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cash provided by financing activities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124,585 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Net increase in cash and cash equivalents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80,090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419</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Cash and cash equivalents, beginning of year</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16,268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15,849</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Cash and cash equivalents, end of year</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96,358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16,268</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Supplemental cash flow information</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Cash paid for taxes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Settlement of redeemable convertible preferred stock tranche liability</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4,943 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Purchases of property and equipment included in accounts payable and accrued expense</w:t>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248 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0335"/>
                <wp:effectExtent l="0" t="0" r="0" b="0"/>
                <wp:wrapNone/>
                <wp:docPr id="136" name="Frame12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9834" w:type="dxa"/>
        <w:jc w:val="left"/>
        <w:tblInd w:w="0" w:type="dxa"/>
        <w:tblLayout w:type="fixed"/>
        <w:tblCellMar>
          <w:top w:w="28" w:type="dxa"/>
          <w:left w:w="28" w:type="dxa"/>
          <w:bottom w:w="28" w:type="dxa"/>
          <w:right w:w="28" w:type="dxa"/>
        </w:tblCellMar>
      </w:tblPr>
      <w:tblGrid>
        <w:gridCol w:w="2673"/>
        <w:gridCol w:w="2346"/>
        <w:gridCol w:w="2361"/>
        <w:gridCol w:w="226"/>
        <w:gridCol w:w="706"/>
        <w:gridCol w:w="109"/>
        <w:gridCol w:w="109"/>
        <w:gridCol w:w="109"/>
        <w:gridCol w:w="109"/>
        <w:gridCol w:w="226"/>
        <w:gridCol w:w="706"/>
        <w:gridCol w:w="154"/>
      </w:tblGrid>
      <w:tr>
        <w:trPr/>
        <w:tc>
          <w:tcPr>
            <w:tcW w:w="2673"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Deferred offering costs included in accounts payable and accrued expense</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Reduction of right-of-use asset</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Reduction of lease liability due to early termination</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Right-of-use asset in exchange for lease liability</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3,696 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0335"/>
                <wp:effectExtent l="0" t="0" r="0" b="0"/>
                <wp:wrapNone/>
                <wp:docPr id="137" name="Frame12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color w:val="000000"/>
          <w:sz w:val="20"/>
        </w:rPr>
      </w:pPr>
      <w:r>
        <w:rPr>
          <w:rFonts w:ascii="Trade Gothic;sans-serif" w:hAnsi="Trade Gothic;sans-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 Description of Business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SpyGlass Pharma, Inc. (“SpyGlass”, or the “Company”) was incorporated on January 7, 2019 pursuant to the laws of the State of Delaware. The Company is a late-stage biopharmaceutical company initiating its Phase 3 clinical trials for its lead product, an IOL mounted, controlled release, drug delivery system intended to treat glaucoma through the delivery of the drug bimatoprost.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Risks, uncertainties, going concern and management’s plans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is subject to certain risks and uncertainties, including, but not limited to changes in any of the following areas that the Company believes could have a material adverse effect on future financial position or results of operations: the availability of future financing; the ability to obtain regulatory approval and market acceptance of, and reimbursement for, the Company’s drug candidates if approved; the performance of third-party clinical research organizations and manufacturers; licenses of intellectual property; future development of intellectual property; litigation or claims against the Company, patent, product, regulatory or other factors; and the Company’s ability to attract and retain employees necessary to support commercial operations. In addition, significant changes in the biotechnology industry or the approval of competitive products or therapies could adversely affect the Company’s development and operating results.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accompanying financial statements have been prepared in conformity with accounting principles generally accepted in the United States of America (“GAAP”), which contemplate continuation of the Company as a going concern. To date, the Company has relied on equity financing to fund its operations. The Company has an accumulated deficit of $104.7 million as of December 31, 2025, and used cash in operations of $32.7 million during the year ended December 31, 2025. While the Company has no revenue-generating activities, working capital totals $100.2 million as of December 31,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Successful completion of development of the Company’s initial commercial products is dependent upon continued operations of the Company, which in turn is dependent upon the Company’s ability to meet its financial obligations. The Company will require substantial additional capital to fund its research and development and ongoing operating expenses. The Company expects to seek additional funding through equity financings, debt financings or other sources. The Company may not be able to obtain funding on acceptable terms, or at all. The terms of any future financing may adversely affect the holdings or the rights of the Company’s existing stockholders. If the Company is unable to raise additional funds when needed, it may be required to delay, reduce or eliminate its research and development.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July 2023, the Company closed a first tranche of Series C redeemable convertible preferred stock totaling $40.0 million. In March 2025, the Company closed on a second tranche of Series C redeemable convertible preferred stock totaling $50.0 million. Additionally, in May and June 2025, the Company closed on a Series D redeemable convertible preferred stock financing totaling $77.3 million. In February 2026, the Company completed the initial public offering of its common stock, with aggregate gross proceeds from the offering of $172.5 million, before deducting underwriting discounts and commissions and other offering expenses (Note 13 - Subsequent Events). Management believes its existing cash, cash equivalents, and short-term investments provide sufficient liquidity to continue as a going concern for the next twelve months. The accompanying financial statements have been prepared assuming that the Company will continue as a going concern, which contemplates the realization of assets and the settlement of liabilities and commitments in the normal course of business. The financial statements do not reflect any adjustments relating to the recoverability and reclassification of assets and liabilities that might be necessary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2. Summary of Significant Accounting Policies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Basis of Presentation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financial statements and accompanying notes are prepared on the accrual basis of accounting in accordance with GAAP. Certain prior period amounts have been reclassified to conform to the current period presentation. These reclassifications had no impact on previously reported net loss, total assets, total liabilities, stockholders’ equity, or cash flows.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Use of Estimates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preparation of financial statements in conformity with GAAP requires management to make estimates and assumptions that affect the reported amounts of assets and liabilities, and the disclosure of contingent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0335"/>
                <wp:effectExtent l="0" t="0" r="0" b="0"/>
                <wp:wrapNone/>
                <wp:docPr id="138" name="Frame12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liabilities, if any, at the date of the financial statements, and the reported amounts of revenues and expenses during the reporting period.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an ongoing basis, the Company evaluates its estimates and judgments, including those related to the valuation of operating lease right-of-use assets, valuation of clinical trial accruals, payroll accruals, redeemable convertible preferred stock tranche liability, redeemable convertible preferred stock, stock-based compensation and income taxes, which are based on historical and anticipated results and trends, and on various other assumptions that management believes to be reasonable under the circumstances. Actual results could differ from those estimates.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Fair Value Measurements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accordance with Accounting Standards Codification 820, “Fair Value Measurements and Disclosures” (“ASC 820”), the Company measures fair value based on a three-level hierarchy of inputs, of which the first two are considered observable and the last unobservable. Unobservable inputs reflect the Company’s own assumptions about current market conditions. The three-level hierarchy of inputs is as follows: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Level 1 - Quoted prices in active markets for identical assets or liabilities.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Level 3 - Unobservable inputs that are supported by little or no market activity and that are significant to the fair value of assets or liabilities.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fair values of cash, cash equivalents, short-term investments, receivables, prepaid expenses and other current assets, accounts payable and accrued expenses are estimated to approximate their respective carrying values as of December 31, 2025 and 2024 due to the short-term maturities of such instruments.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Cash and Cash Equivalents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considers all highly liquid investments with a maturity of three months or less, when acquired, to be cash equivalents, such as money market accounts. Substantially all of the Company’s cash and cash equivalents are maintained with various financial institutions domiciled in the United States. Amounts on deposit with these financial institutions may, from time to time, exceed the federally insured limit, as well as coverage provided by the Securities Investment Protection Corporation. The fair value of the Company’s cash equivalents was determined using level 1 inputs.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Short-Term Investments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Short-term investments consist of fixed income U.S. treasury securities and certificates of deposit with maturities primarily between three and twelve months. The U.S. treasury securities and certificate of deposit investments are classified as held-to-maturity and are reported at amortized cost, plus any additional costs incurred, as of December 31, 2025 and 2024. Amortized cost includes accrued interest of $0.1 million at December 31, 2025. Interest accrued on these investments is reported within the statements of operations as interest income. The amortized cost and fair value of held-to-maturity securities approximated each other at December 31, 2025 and 2024. These short-term investments have maturity dates between three and twelve months. Management believes that they have both the intent and ability to hold these securities until maturity. No held-to-maturity securities were pledged as collateral at December 31, 2025 and 2024. There were no sales or transfers of held-to-maturity securities during the periods presented. The fair value of the Company’s short-term investments was determined using level 2 inputs.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Other Receivables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receivables consist of amounts due from the Internal Revenue Service related to refundable R&amp;D payroll tax credits.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Other Current and Non-Current Assets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current assets consist of deposits and other prepayments for future services expected to be received or consumed within twelve months, while other non-current assets consist of deposits and other prepayments for future services expected to be received or consumed more than twelve months, in each case from December 31, 2025 and 2024, respectively.</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Property and Equipment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Property and equipment are recorded at cost less accumulated depreciation. The Company provides for depreciation over estimated useful lives ranging from three to five years for all non-leasehold improvement assets using the straight-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0335"/>
                <wp:effectExtent l="0" t="0" r="0" b="0"/>
                <wp:wrapNone/>
                <wp:docPr id="139" name="Frame12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line method. Leasehold improvements are depreciated over the lesser of the estimated useful life or the lease term. Repairs and maintenance expenditures that do not significantly add value to property and equipment, or prolong its life, or are below the Company’s capitalization threshold policy, are charged to expense as incurred. Gains and losses on dispositions of property and equipment are included in the operating results of the related period within research and development or general and administrative operating expenses, depending on the nature of the underlying asset. </w:t>
      </w:r>
    </w:p>
    <w:p>
      <w:pPr>
        <w:pStyle w:val="TextBody"/>
        <w:bidi w:val="0"/>
        <w:spacing w:lineRule="auto" w:line="288" w:before="80" w:after="40"/>
        <w:jc w:val="left"/>
        <w:rPr/>
      </w:pPr>
      <w:r>
        <w:rPr>
          <w:rFonts w:ascii="Trade Gothic;sans-serif" w:hAnsi="Trade Gothic;sans-serif"/>
          <w:b/>
          <w:i/>
          <w:color w:val="000000"/>
          <w:sz w:val="19"/>
        </w:rPr>
        <w:t>Impairment of Long-Lived</w:t>
      </w:r>
      <w:r>
        <w:rPr>
          <w:color w:val="000000"/>
        </w:rPr>
        <w:t xml:space="preserve"> </w:t>
      </w:r>
      <w:r>
        <w:rPr>
          <w:rFonts w:ascii="Trade Gothic;sans-serif" w:hAnsi="Trade Gothic;sans-serif"/>
          <w:b/>
          <w:i/>
          <w:color w:val="000000"/>
          <w:sz w:val="19"/>
        </w:rPr>
        <w:t>Assets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Long-lived assets, including property and equipment, are reviewed for potential impairment when events or changes in circumstances indicate the carrying amount of an asset may not be recoverable. In the event the sum of the expected undiscounted future cash flows resulting from the use of the asset is less than the carrying amount of the asset, an impairment loss equal to the excess of the asset’s carrying value over its fair value is recorded. There were no impairment losses recognized during the years ended December 31, 2025 and 2024.</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Leases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determines if an arrangement is or contains a lease and evaluates the classification of that lease at inception of a contract. The Company considers whether it controls the underlying asset and has the right to obtain substantially all the economic benefits or outputs from the asset.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Operating lease right-of-use (“ROU”) assets and operating lease liabilities are measured and recorded based on the present value of the future minimum lease payments over the lease term at the commencement date. Operating lease ROU assets are based on the corresponding lease liability adjusted for (i) payments made at or before the commencement date, (ii) initial direct costs incurred, and (iii) tenant incentives under the lease. The Company does not account for renewals or early terminations unless it is reasonably certain to exercise these options at commencement. Operating lease expense is recognized on a straight-line basis over the lease term. The Company accounts for lease and non-lease components as a single lease component for operating leases. The Company elects the short-term practical expedient and does not record leases with terms of twelve months or less on the balance sheets.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used an incremental borrowing rate based on the information available at the lease commencement date in determining the present value of future lease payments. The Company’s incremental borrowing rate was estimated to approximate the interest rate on a collateralized basis with similar terms and payments. The Company determined the incremental borrowing rate by considering various factors, such as its credit rating, interest rates of similar debt instruments of entities with comparable credit rating, and the lease term.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Operating lease cost is recognized as a component of general and administrative expenses in the statement of operations. The Company excludes variable payments, such as common area maintenance, and operating expenses such as real estate taxes and insurance, from ROU assets and lease liabilities, to the extent not considered fixed or dependent on an index or specific rate, and instead expenses these costs as incurred.</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Deferred Offering Costs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Deferred equity financing costs are included within non-current assets in the accompanying balance sheets. Such costs are comprised of specific incremental costs directly attributable to the Company's initial public offering of common stock that was completed in February 2026. Such costs were charged against the gross proceeds of the equity offering upon completion (Note 13 - Subsequent Events).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the Company had recorded $2.7 million of deferred equity financing costs related to its offering of securities. As of December 31, 2024, the Company did not have any deferred equity financing costs.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Company records redeemable convertible preferred stock at fair value on the dates of issuance, net of issuance costs. If the redeemable convertible preferred stock is issued contemporaneously with another freestanding financial instrument, the redeemable convertible preferred stock is recorded at an amount equal to the allocated proceeds. The redeemable convertible preferred stock is recorded outside of stockholders’ deficit because the shares contain a redemption feature upon the occurrence of a deemed liquidation event, the occurrence of which is not solely within the Company’s control because the holders of preferred stock control the Company’s board of directors. The Company has not adjusted the carrying values of the redeemable convertible preferred stock to the redemption amount of such shares because it is uncertain whether or when a deemed liquidation event would occur that would obligate the Company to pay the redemption amount to holders of shares of redeemable convertible preferred stock. Subsequent adjustments to the carrying values to the liquidation preferences will be made only when it becomes probable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0335"/>
                <wp:effectExtent l="0" t="0" r="0" b="0"/>
                <wp:wrapNone/>
                <wp:docPr id="140" name="Frame12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such a deemed liquidation event will occur (Note 4 - Redeemable Convertible Preferred Stock and Stockholders’ Deficit).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determined the right of the investors to purchase shares of Series C-2 redeemable convertible preferred stock at a fixed cash issuance price per share at a future date met the definition of a freestanding instrument as the instruments are legally detachable and separately exercisable from the shares of Series C-1 redeemable convertible preferred stock. The Redeemable Convertible Preferred Stock Tranche Liability was issued with, and was calculated at the fair value upon the initial issuance of Series C-1 redeemable convertible preferred stock in July 2023 (the “Redeemable Convertible Preferred Stock Tranche Liability”). The Redeemable Convertible Preferred Stock Tranche Liability was subject to remeasurement at each balance sheet date, with changes in fair value recognized within other income (expense) in the statement of operations and comprehensive loss. The Redeemable Convertible Preferred Stock Tranche Liability is measured at level 3 of the fair value hierarchy in accordance with ASC 820. Upon closing of the C-2 redeemable convertible preferred stock tranche in March 2025, the Redeemable Convertible Preferred Stock Tranche Liability was settled (Note 5 - Fair Value Measurements).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Research and Development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 costs, which include clinical and regulatory expenses, are expensed when incurred. They typically include, but are not limited to, payroll and personnel expenses, preclinical studies, clinical trials, formulations and materials, laboratory supplies, depreciation on laboratory equipment, temporary laboratory space and consulting costs. At each financial reporting date, the Company accrues the estimated cost of clinical study activities performed by third-party clinical sites with whom the Company has agreements that provide for fees based upon the number of participants enrolled and the clinical evaluation visits that occur over the life of the study. These estimates are determined based upon a review of the agreements and data collected by clinical personnel as to the status of participant enrollment and visits, and are based upon the facts and circumstances known to the Company at each financial reporting date. If the actual performance of activities varies from the assumptions used in the estimates, the accruals are adjusted accordingly. Costs to acquire technologies to be used in research and development that have not reached technological feasibility and have no alternative future use are also expensed when incurred.</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Patent Costs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All patent-related costs incurred in connection with the research, filing, maintenance and prosecution of patent applications are expensed as incurred due to the uncertainty about the recovery of these expenditures. Amounts incurred are classified as general and administrative expenses in the accompanying statements of operations.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Stock-based Compensation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2019 Equity Incentive Plan (the “2019 Plan”) permits the grant of incentive stock options, nonstatutory stock options, stock appreciation rights, restricted stock, and restricted stock units to the Company’s employees, directors, and consultants. The exercise price of options granted under the 2019 Plan is based on the fair value of the common stock on the grant date as approved by the Company’s board of directors, and no option shall have a term in excess of ten years from the option grant date. Options vest in various installments as outlined in the related stock option agreements, or as determined by the Company’s board of directors. If an incentive stock option is granted to a participant who, at the time of granting, owns stock representing more than 10% of the total combined voting power of all classes of stock of the Company, the incentive stock option will have a term of five years from the date of grant or such shorter term as may be provided in the award agreement and the per share exercise price will be no less than 110% of the fair market value per share of the common stock on the date of grant.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maximum aggregate number of shares that may be subject to awards under the amended and restated 2019 Plan is 4,610,036. This amount has been reserved by the Company to provide for the issuance of shares of the Company’s common stock to employees, directors and consultants under its amended and restated 2019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2019 Plan terminated upon the effectiveness of the Company’s 2026 Equity Incentive Plan in connection with the completion of the Company’s initial public offering, and the Company will not grant any additional awards under the 2019 Plan following its termination (Note 13 – Subsequent Events). However, the 2019 Plan will continue to govern the terms and conditions of the outstanding awards previously granted under our 2019 Plan.</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Stock-based awards result in a cost that is measured at fair value on the awards’ grant date, based on the estimated number of awards that are expected to vest. Stock-based compensation is recognized on a straight-line basis over the period during which the grantee is required to provide service in exchange for the award, which is generally the vesting period of the award. The Company recognizes forfeitures of stock-based compensation awards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0335"/>
                <wp:effectExtent l="0" t="0" r="0" b="0"/>
                <wp:wrapNone/>
                <wp:docPr id="141" name="Frame12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determination of fair value requires significant judgment and the use of estimates, which include Black-Scholes assumptions such as stock price volatility and expected option term. The Company has historically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Income Taxes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uses the asset and liability method of accounting for income taxes. Accordingly, deferred tax liabilities and assets are determined based on the difference between the financial statement and tax bases of assets and liabilities, using enacted tax rates in effect for the year in which the differences are expected to reverse. Current income taxes are based on the year’s taxable income/loss for federal and state income tax reporting purposes.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valuation allowance is recorded against deferred tax assets to reduce the net carrying value when it is more likely than not that some portion or all of a deferred tax asset will not be realized.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Company’s net deferred tax assets as of December 31, 2025, consist principally of net operating losses and section 174 research and experimentation expenditure capitalization. The Company provided a 100% valuation allowance for the tax effect of deferred tax assets, and as a result, no benefit for income taxes has been provided in the accompanying statements of operations. The Company established a valuation allowance because management could not determine that it was “more likely than not” that the benefits of the deferred tax assets would be realized.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Company recognizes the tax benefit from an uncertain tax position only if it is more likely than not that the tax position will be sustained on examination by the taxing authorities based on the technical merits of the position. The tax benefit recognized in the financial statements for a particular tax position is based on the largest benefit that is more likely than not to be realized upon settlement. Accordingly, the Company establishes reserves for uncertain tax positions.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follows the accounting guidance on accounting for uncertainty in income taxes. The guidance prescribes a recognition threshold and measurement attribute criteria for the financial statement recognition and measurement of tax positions taken or expected to be taken in a tax return. For those benefits to be recognized, a tax position must be more likely than not to be sustained upon examination by taxing authorities. As applicable, the Company recognizes accrued penalties and interest related to unrecognized tax benefits in the provision for income taxes.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has not recognized interest or penalties in its statement of operations and comprehensive loss for the years ended December 31, 2025, and 2024.</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Net Loss Per Share of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Basic net loss per share is based on the weighted-average number of shares of common stock outstanding during the period. Diluted net loss per share is based on the average number of shares of common stock used for the basic earnings per share calculation, adjusted for the dilutive effect of dilutive securities. For purposes of the diluted net loss per share of common stock, stock options and the redeemable convertible preferred stock are potentially dilutive securities. Redeemable convertible preferred stock participates pari passu in the dividends distributed to common stock. The Company’s redeemable convertible preferred stock contractually entitles the holders of such shares to participate in dividends, but does not contractually require the holders of such shares to participate in the Company’s losses. Accordingly, basic and diluted net loss per share attributable to common stockholders is presented in conformity with the two-class method required for participating securities as the redeemable convertible preferred stock is considered a participating security. As the Company has reported a net loss for the periods presented, the losses are not allocated to such participating securities and as a result, diluted net loss per share is the same as basic net loss per share.</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Recently Issued Accounting Pronouncements Adopted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December 2023, the FASB issued ASU 2023-09, “Income Taxes (Topic 740): Improvements to Income Tax Disclosures” (“ASU 2023-09”). ASU 2023-09 requires public entities, on an annual basis, to provide: a tabular rate reconciliation (using both percentages and reporting currency amounts) of (1) the reported income tax expense (or benefit) from continuing operations, to (2) the product of the income (or loss) from continuing operations before income taxes and the applicable statutory federal (national) income tax rate of the jurisdiction (country) of domicile using specific categories, and separate disclosure for any reconciling items within certain categories that are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0335"/>
                <wp:effectExtent l="0" t="0" r="0" b="0"/>
                <wp:wrapNone/>
                <wp:docPr id="142" name="Frame12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or greater than a specified quantitative threshold. For each annual period presented, ASU 2023-09 also requires all reporting entities to disclose the year-to-date amount of income taxes paid (net of refunds received) disaggregated by federal (national), state, and foreign. It also requires additional disaggregated information on income taxes paid (net of refunds received) to an individual jurisdiction equal to or greater than 5% of total income taxes paid (net of refunds received). ASU 2023-09 is effective for public entities and for other entities for fiscal years beginning after December 15, 2024 and December 15, 2025, respectively. ASU 2023-09 is to be applied on a prospective basis with the option to apply the standard retrospectively. Early adoption is permitted. While the Company qualifies as an emerging growth company and qualifies to take advantage of the extended transition period for complying with new or revised accounting standards, the Company elected to early adopt ASU 2023-09 for the fiscal year beginning January 1, 2025 on a prospective basis.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Recently Issued Accounting Pronouncements Not Yet Adopted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November 2024, the FASB issued ASU 2024-03, “Income Statement—Reporting Comprehensive Income—Expense Disaggregation Disclosures (Subtopic 220-40) – Disaggregation of Income Statement Expenses” (“ASU 2024-03”), which requires additional disclosure about specified categories of expenses included in relevant expense captions presented on the statement of operations and comprehensive loss. The amendments are effective for annual periods beginning after December 15, 2026, and for interim periods within fiscal years beginning after December 15, 2027. Early adoption is permitted. The amendments may be applied either prospectively or retrospectively. The Company is currently evaluating the impact that ASU 2024-03 will have on its financial statements.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considers the applicability and impact of all ASUs issued by the FASB. There are no other accounting pronouncements which have been issued but are not yet effective that would have a material impact on the Company’s financial statements when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3. Property and Equipment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Property and equipment, net consisted of the following at December 31, 2025 and 2024:</w:t>
      </w:r>
    </w:p>
    <w:tbl>
      <w:tblPr>
        <w:tblW w:w="7703" w:type="dxa"/>
        <w:jc w:val="left"/>
        <w:tblInd w:w="0" w:type="dxa"/>
        <w:tblLayout w:type="fixed"/>
        <w:tblCellMar>
          <w:top w:w="28" w:type="dxa"/>
          <w:left w:w="28" w:type="dxa"/>
          <w:bottom w:w="28" w:type="dxa"/>
          <w:right w:w="28" w:type="dxa"/>
        </w:tblCellMar>
      </w:tblPr>
      <w:tblGrid>
        <w:gridCol w:w="1903"/>
        <w:gridCol w:w="1669"/>
        <w:gridCol w:w="1677"/>
        <w:gridCol w:w="226"/>
        <w:gridCol w:w="706"/>
        <w:gridCol w:w="109"/>
        <w:gridCol w:w="109"/>
        <w:gridCol w:w="109"/>
        <w:gridCol w:w="109"/>
        <w:gridCol w:w="226"/>
        <w:gridCol w:w="706"/>
        <w:gridCol w:w="154"/>
      </w:tblGrid>
      <w:tr>
        <w:trPr/>
        <w:tc>
          <w:tcPr>
            <w:tcW w:w="19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Machinery and equipment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Construction in progress - 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Computers and 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Construction in progress - 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Property and equipment,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Property and equipment, net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Depreciation expense for the years ended December 31, 2025 and 2024 was $0.6 million and $0.3 million respectively, and was allocated as follows:</w:t>
      </w:r>
    </w:p>
    <w:tbl>
      <w:tblPr>
        <w:tblW w:w="4884" w:type="dxa"/>
        <w:jc w:val="left"/>
        <w:tblInd w:w="0" w:type="dxa"/>
        <w:tblLayout w:type="fixed"/>
        <w:tblCellMar>
          <w:top w:w="28" w:type="dxa"/>
          <w:left w:w="28" w:type="dxa"/>
          <w:bottom w:w="28" w:type="dxa"/>
          <w:right w:w="28" w:type="dxa"/>
        </w:tblCellMar>
      </w:tblPr>
      <w:tblGrid>
        <w:gridCol w:w="1010"/>
        <w:gridCol w:w="886"/>
        <w:gridCol w:w="894"/>
        <w:gridCol w:w="226"/>
        <w:gridCol w:w="526"/>
        <w:gridCol w:w="109"/>
        <w:gridCol w:w="109"/>
        <w:gridCol w:w="109"/>
        <w:gridCol w:w="109"/>
        <w:gridCol w:w="226"/>
        <w:gridCol w:w="52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Depreciation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recognized a loss of $5.4 thousand on the disposition of property and equipment for the year ended December 31, 2025. There were no gains or losses on dispositions for the year ended December 31, 2024. Additionally, there were no impairment losses recognized during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0335"/>
                <wp:effectExtent l="0" t="0" r="0" b="0"/>
                <wp:wrapNone/>
                <wp:docPr id="143" name="Frame12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4. Redeemable Convertible Preferred Stock and Stockholders’ Deficit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completion of the Company's initial public offering on February 9, 2026, all outstanding shares of the Company’s redeemable convertible preferred stock automatically converted into shares of common stock at the applicable conversion ratio then in effect (See Note 13 – Subsequent Events). The Company's outstanding shares of preferred stock were converted into 20,341,968 shares of common stock.</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the Company had authorized 154,383,336 shares of common stock with a par value of $0.00001. As of December 31, 2025 and 2024, 2,203,620 and 2,196,423 shares were issued and outstanding, respectively.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repurchased 174,432 shares of its common stock at $8.31 per share in June 2025. The repurchased common stock was retired and returned to the status of authorized and unissued shares.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A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the Company had authorized 5,483,956 shares of Series A redeemable convertible preferred stock (“Series A”) with a par value of $0.00001. 956,575 shares of Series A were issued and outstanding as of December 31, 2025 and 2024.</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2023, the Company entered into a Series A Preferred Stock Purchase Agreement which provided for the sale and issuance of the Company’s Series A to investors. The financing provided for multiple closings and was completed in May 2019 whereby an aggregate amount of 956,575 shares of Series A were sold and issued at a purchase price of $6.31 per share for an aggregate purchase price of $6.0 million in cash. Related issuance costs for the Series A aggregated to $0.1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B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the Company had authorized 21,317,825 shares of Series B redeemable convertible preferred stock (“Series B”) with a par value of $0.00001.</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2023, the Company entered into a Series B Preferred Stock Purchase Agreement which provided for the sale and issuance of the Company’s Series B to investors at a purchase price of $7.40 per share. As of December 31, 2025 and 2024, 3,718,503 shares of Series B were issued and outstanding, respectively. Gross cash proceeds raised from Series B totaled $27.5 million. Related issuance costs for the Series B aggregated to $0.2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C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July 2023, the Company entered into a Series C Preferred Stock Purchase Agreement which provided for the sale and issuance of the Company’s Series C redeemable convertible preferred stock in two tranches, Series C-1 and Series C-2, to investors at a purchase price of $8.11 per share and $10.14 per share, respectively. As of December 31, 2025, 4,933,836 shares of Series C-1 were issued and outstanding. Gross cash proceeds raised from Series C-1 totaled $40.0 million and were issued contemporaneously with the execution of the Series C Preferred Stock Purchase Agreement. The Company completed the issuance of the Series C-2 in March 2025. Gross cash proceeds raised from the issuance of 4,933,589 Series C-2 shares totaled $50.0 million. Related issuance costs for the Series C totaled $0.3 million from the original issuance in 2024 and an additional $20.8 thousand in 2025 in conjunction with the Series C-2 issuance aggregating to $0.3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Company determined the right of the investors to purchase shares of Series C-2 redeemable convertible preferred stock at a fixed cash issuance price per share at a future date met the definition of a freestanding financial instrument as the Redeemable Convertible Preferred Stock Tranche Liability is legally detachable and separately exercisable from the shares of Series C-1 Preferred Stock. The Redeemable Convertible Preferred Stock Tranche Liability was recognized at fair value upon the issuance of the Series C-1 redeemable convertible preferred stock in July 2023. The Redeemable Convertible Preferred Stock Tranche Liability was subject to remeasurement at each balance sheet date, with changes in fair value recognized within other income (expense) in the statement of operations and comprehensive loss. The Redeemable Convertible Preferred Stock Tranche Liability was measured at level 3 of the fair value hierarchy in accordance with ASC 820. Upon closing of the Series C-2 preferred stock tranche in March 2025, the Redeemable Convertible Preferred Stock Tranche Liability was settled.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0335"/>
                <wp:effectExtent l="0" t="0" r="0" b="0"/>
                <wp:wrapNone/>
                <wp:docPr id="144" name="Frame12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D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May 2025, the Company entered into a Series D Preferred Stock Purchase Agreement which provides for the sale and issuance of the Company’s Series D redeemable convertible preferred stock (“Series D”) to investors at a purchase price of $13.34. As of December 31, 2025, 5,799,465 shares of Series D were issued and outstanding. Gross cash proceeds raised from Series D in the initial closing in May 2025 totaled $75.0 million and were issued contemporaneously with the execution of the Series D Preferred Stock Purchase Agreement. Gross proceeds raised from Series D in the subsequent closing in June 2025 totaled $2.3 million. Related issuance costs for the Series D totaled $0.3 million from the original issuance and an additional $5.3 thousand in the subsequent issuance aggregating to $0.3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 consisted of the following at December 31, 2025 and 2024:</w:t>
      </w:r>
    </w:p>
    <w:tbl>
      <w:tblPr>
        <w:tblW w:w="10205" w:type="dxa"/>
        <w:jc w:val="left"/>
        <w:tblInd w:w="0" w:type="dxa"/>
        <w:tblLayout w:type="fixed"/>
        <w:tblCellMar>
          <w:top w:w="28" w:type="dxa"/>
          <w:left w:w="28" w:type="dxa"/>
          <w:bottom w:w="28" w:type="dxa"/>
          <w:right w:w="28" w:type="dxa"/>
        </w:tblCellMar>
      </w:tblPr>
      <w:tblGrid>
        <w:gridCol w:w="1478"/>
        <w:gridCol w:w="1181"/>
        <w:gridCol w:w="1185"/>
        <w:gridCol w:w="698"/>
        <w:gridCol w:w="698"/>
        <w:gridCol w:w="246"/>
        <w:gridCol w:w="109"/>
        <w:gridCol w:w="109"/>
        <w:gridCol w:w="109"/>
        <w:gridCol w:w="242"/>
        <w:gridCol w:w="1060"/>
        <w:gridCol w:w="109"/>
        <w:gridCol w:w="109"/>
        <w:gridCol w:w="109"/>
        <w:gridCol w:w="109"/>
        <w:gridCol w:w="440"/>
        <w:gridCol w:w="1925"/>
        <w:gridCol w:w="289"/>
      </w:tblGrid>
      <w:tr>
        <w:trPr/>
        <w:tc>
          <w:tcPr>
            <w:tcW w:w="147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amounts)</w:t>
            </w:r>
          </w:p>
        </w:tc>
        <w:tc>
          <w:tcPr>
            <w:tcW w:w="63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Redeemable Convertible Preferred Stock</w:t>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As of December 31, 2025</w:t>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Liquidation Preference</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A preferred stock</w:t>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956,575 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6,032 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B preferred stock</w:t>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3,718,503 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27,500 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C-1 preferred stock</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4,933,836 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40,010 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C-2 preferred stock</w:t>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4,933,589 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54,932 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50,010 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D preferred stock</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5,799,465 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77,059 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77,326 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redeemable convertible preferred stock</w:t>
            </w:r>
          </w:p>
        </w:tc>
        <w:tc>
          <w:tcPr>
            <w:tcW w:w="139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20,341,968</w:t>
            </w:r>
            <w:r>
              <w:rPr>
                <w:color w:val="000000"/>
              </w:rPr>
              <w:t>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0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204,537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9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200,878</w:t>
            </w:r>
            <w:r>
              <w:rPr>
                <w:color w:val="000000"/>
              </w:rPr>
              <w:t> </w:t>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9"/>
        <w:gridCol w:w="1229"/>
        <w:gridCol w:w="1234"/>
        <w:gridCol w:w="630"/>
        <w:gridCol w:w="631"/>
        <w:gridCol w:w="246"/>
        <w:gridCol w:w="115"/>
        <w:gridCol w:w="115"/>
        <w:gridCol w:w="115"/>
        <w:gridCol w:w="256"/>
        <w:gridCol w:w="974"/>
        <w:gridCol w:w="115"/>
        <w:gridCol w:w="115"/>
        <w:gridCol w:w="115"/>
        <w:gridCol w:w="115"/>
        <w:gridCol w:w="490"/>
        <w:gridCol w:w="1868"/>
        <w:gridCol w:w="323"/>
      </w:tblGrid>
      <w:tr>
        <w:trPr/>
        <w:tc>
          <w:tcPr>
            <w:tcW w:w="151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amounts)</w:t>
            </w:r>
          </w:p>
        </w:tc>
        <w:tc>
          <w:tcPr>
            <w:tcW w:w="62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Redeemable Convertible Preferred Stock</w:t>
            </w:r>
          </w:p>
        </w:tc>
      </w:tr>
      <w:tr>
        <w:trPr/>
        <w:tc>
          <w:tcPr>
            <w:tcW w:w="3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As of December 31, 2024</w:t>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Liquidation Preference</w:t>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A preferred stock</w:t>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956,575 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6,032 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B preferred stock</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3,718,503 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27,321 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27,500 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C-1 preferred stock</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4,933,836 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39,760 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40,010 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redeemable convertible preferred stock</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9,608,914</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72,546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1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73,542</w:t>
            </w:r>
            <w:r>
              <w:rPr>
                <w:color w:val="000000"/>
              </w:rPr>
              <w:t>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Rights and Privileges of Series A, Series B, Series C and Series D Preferred Stockholders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and 2024, the rights and privileges of the holders of shares of the Series A, Series B, Series C and Series D redeemable convertible preferred stock (collectively, the “Preferred Stock”) were as follows:</w:t>
      </w:r>
    </w:p>
    <w:p>
      <w:pPr>
        <w:pStyle w:val="TextBody"/>
        <w:bidi w:val="0"/>
        <w:spacing w:lineRule="auto" w:line="288" w:before="0" w:after="240"/>
        <w:jc w:val="left"/>
        <w:rPr/>
      </w:pPr>
      <w:r>
        <w:rPr>
          <w:rFonts w:ascii="Trade Gothic;sans-serif" w:hAnsi="Trade Gothic;sans-serif"/>
          <w:b w:val="false"/>
          <w:i/>
          <w:color w:val="000000"/>
          <w:sz w:val="19"/>
        </w:rPr>
        <w:t>Voting</w:t>
      </w:r>
      <w:r>
        <w:rPr>
          <w:rFonts w:ascii="Trade Gothic;sans-serif" w:hAnsi="Trade Gothic;sans-serif"/>
          <w:b w:val="false"/>
          <w:color w:val="000000"/>
          <w:sz w:val="19"/>
        </w:rPr>
        <w:t xml:space="preserve">: Each holder of outstanding shares of Preferred Stock shall be entitled to cast the number of votes equal to the number of shares of common stock into which the shares of Preferred Stock held by such holder are then convertible.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holders of shares of Series D, exclusively and voting together as a single class and on an as-converted to common stock basis, shall be entitled to elect two directors. The holders of shares of Series C, exclusively and voting together as a single class and on an as-converted to Common Stock basis, shall be entitled to elect two directors. The holders of shares of Series B, exclusively and as a separate class, shall be entitled to elect one director. The holders of shares of Series A, exclusively and as a separate class, shall be entitled to elect one director. The holders of shares of common stock, exclusively and as a separate class, shall be entitled to elect two directors. The holders of common stock and of any other class or series of voting stock (including the Preferred Stock), exclusively and voting together as a single class and on an as-converted basis, are entitled to elect all the remaining members of the board of directors.</w:t>
      </w:r>
    </w:p>
    <w:p>
      <w:pPr>
        <w:pStyle w:val="TextBody"/>
        <w:bidi w:val="0"/>
        <w:spacing w:lineRule="auto" w:line="288" w:before="0" w:after="240"/>
        <w:jc w:val="left"/>
        <w:rPr/>
      </w:pPr>
      <w:r>
        <w:rPr>
          <w:rFonts w:ascii="Trade Gothic;sans-serif" w:hAnsi="Trade Gothic;sans-serif"/>
          <w:b w:val="false"/>
          <w:i/>
          <w:color w:val="000000"/>
          <w:sz w:val="19"/>
        </w:rPr>
        <w:t>Dividends</w:t>
      </w:r>
      <w:r>
        <w:rPr>
          <w:rFonts w:ascii="Trade Gothic;sans-serif" w:hAnsi="Trade Gothic;sans-serif"/>
          <w:b w:val="false"/>
          <w:color w:val="000000"/>
          <w:sz w:val="19"/>
        </w:rPr>
        <w:t>: The holders of Preferred Stock shall be entitled to receive dividends out of any assets legally available, on a pari passu basis and prior and in preference to any declaration or payment of any dividend on the common stock, at the rate of 8% per annum of the original issue price. Such dividends shall not be cumulative and shall be payable only when, as and if declared by the board of directors. After payment of such dividends, any additional dividends shall be distributed among the holders of Preferred Stock and common stock pro rata based on the number of shares of common stock then held by each holder, assuming conversion of all such Preferred Stock into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0335"/>
                <wp:effectExtent l="0" t="0" r="0" b="0"/>
                <wp:wrapNone/>
                <wp:docPr id="145" name="Frame13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i/>
          <w:color w:val="000000"/>
          <w:sz w:val="19"/>
        </w:rPr>
        <w:t>Deemed liquidation event</w:t>
      </w:r>
      <w:r>
        <w:rPr>
          <w:rFonts w:ascii="Trade Gothic;sans-serif" w:hAnsi="Trade Gothic;sans-serif"/>
          <w:b w:val="false"/>
          <w:color w:val="000000"/>
          <w:sz w:val="19"/>
        </w:rPr>
        <w:t>: Each of the following events shall be considered a “Deemed Liquidation Event” unless the holders of a majority of the outstanding shares of Preferred Stock, which must also include the holders of a majority of the outstanding shares of Series C and Series D Preferred Stock voting together as a single class on an as-converted to Common Stock basis, elect otherwise by written notice sent to the Company at least 10 business days prior to the effective date of any such event; (a) A merger or consolidation in which the Company is a constituent party or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of the capital stock of (1) the surviving or resulting company; or (2) if the surviving or resulting company is a wholly owned subsidiary of another company immediately following such merger or consolidation, the parent company of such surviving or resulting corporation; or (b) (1) the sale, lease, transfer, exclusive license or other disposition, in a single transaction or series of related transactions, by the Company or any subsidiary of the Company of all or substantially all the assets of the Company and its subsidiaries taken as a whole, or (2) the sale or disposition (whether by merger, consolidation or otherwise, and whether in a single transaction or a series of related transactions)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identified Deemed Liquidation Events above are not solely within the control of the Company. In accordance with ASC 480-10-S99-3A, the Company has classified the Preferred Stock outside of permanent equity as temporary equity in the accompanying financial statements.</w:t>
      </w:r>
    </w:p>
    <w:p>
      <w:pPr>
        <w:pStyle w:val="TextBody"/>
        <w:bidi w:val="0"/>
        <w:spacing w:lineRule="auto" w:line="288" w:before="0" w:after="240"/>
        <w:jc w:val="left"/>
        <w:rPr/>
      </w:pPr>
      <w:r>
        <w:rPr>
          <w:rFonts w:ascii="Trade Gothic;sans-serif" w:hAnsi="Trade Gothic;sans-serif"/>
          <w:b w:val="false"/>
          <w:i/>
          <w:color w:val="000000"/>
          <w:sz w:val="19"/>
        </w:rPr>
        <w:t>Liquidation Preference</w:t>
      </w:r>
      <w:r>
        <w:rPr>
          <w:rFonts w:ascii="Trade Gothic;sans-serif" w:hAnsi="Trade Gothic;sans-serif"/>
          <w:b w:val="false"/>
          <w:color w:val="000000"/>
          <w:sz w:val="19"/>
        </w:rPr>
        <w:t>: The Preferred Stock contains a liquidation preference in the event of any Deemed Liquidation Event, voluntary or involuntary liquidation, dissolution or winding up of the corporation, such that the holders of shares of each series of preferred stock then outstanding shall be entitled to be paid out of the assets of the corporation available for distribution to its stockholders. Preferred stockholders have liquidation preferences over common stock and Series A, Series B, Series C-1, Series C-2 and Series D holders have a priority to receive the greater of a) $6.31, $7.40, $8.11, $10.14 and $13.34 per share plus declared, but unpaid dividends, respectively, or b) such amount per share as would have been payable had all such shares of the Preferred Stock been converted into common stock immediately prior to a liquidation event. The preferred stock does not contain a mandatory redemption provision.</w:t>
      </w:r>
    </w:p>
    <w:p>
      <w:pPr>
        <w:pStyle w:val="TextBody"/>
        <w:bidi w:val="0"/>
        <w:spacing w:lineRule="auto" w:line="288" w:before="0" w:after="240"/>
        <w:jc w:val="left"/>
        <w:rPr/>
      </w:pPr>
      <w:r>
        <w:rPr>
          <w:rFonts w:ascii="Trade Gothic;sans-serif" w:hAnsi="Trade Gothic;sans-serif"/>
          <w:b w:val="false"/>
          <w:i/>
          <w:color w:val="000000"/>
          <w:sz w:val="19"/>
        </w:rPr>
        <w:t>Conversion</w:t>
      </w:r>
      <w:r>
        <w:rPr>
          <w:rFonts w:ascii="Trade Gothic;sans-serif" w:hAnsi="Trade Gothic;sans-serif"/>
          <w:b w:val="false"/>
          <w:color w:val="000000"/>
          <w:sz w:val="19"/>
        </w:rPr>
        <w:t>: Each share of Preferred Stock is convertible, at the option of the holder thereof, at any time and from time to time, and without the payment of additional consideration by the holder thereof. Upon either the closing of the sale of shares of common stock to the public at a price of at least $16.68 per share in a firm-commitment underwritten public offering resulting in at least $100.0 million of gross proceeds to the Company, or the date and time specified by vote or written consent of the holders of sixty percent of the outstanding shares of Series C and Series D, voting together as a single class on an as-converted to common stock basis, all outstanding shares of Preferred Stock shall be automatically converted into shares of common stock. The conversion price of the Preferred Stock is subject to adjustment in the event of stock splits, stock dividends, reclassifications, or similar recapitalization events, as well as pursuant to down-round provisions. As of December 31, 2025, the conversion price remained unchanged from the original issue price whereby shares of Series A will be converted to common stock at a per share price of $6.31 Series B at $7.40, Series C-1 at $8.11, Series C-2 at $10.14, and Series D at $13.34.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5. Fair Value Measurements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assets and liabilities that are measured at fair value on a recurring basis include the following as of December 31, 2025 and 2024, set forth by level within the fair value hierarchy:</w:t>
      </w:r>
    </w:p>
    <w:tbl>
      <w:tblPr>
        <w:tblW w:w="7898" w:type="dxa"/>
        <w:jc w:val="left"/>
        <w:tblInd w:w="0" w:type="dxa"/>
        <w:tblLayout w:type="fixed"/>
        <w:tblCellMar>
          <w:top w:w="28" w:type="dxa"/>
          <w:left w:w="28" w:type="dxa"/>
          <w:bottom w:w="28" w:type="dxa"/>
          <w:right w:w="28" w:type="dxa"/>
        </w:tblCellMar>
      </w:tblPr>
      <w:tblGrid>
        <w:gridCol w:w="886"/>
        <w:gridCol w:w="777"/>
        <w:gridCol w:w="781"/>
        <w:gridCol w:w="241"/>
        <w:gridCol w:w="781"/>
        <w:gridCol w:w="109"/>
        <w:gridCol w:w="109"/>
        <w:gridCol w:w="109"/>
        <w:gridCol w:w="109"/>
        <w:gridCol w:w="241"/>
        <w:gridCol w:w="916"/>
        <w:gridCol w:w="109"/>
        <w:gridCol w:w="109"/>
        <w:gridCol w:w="109"/>
        <w:gridCol w:w="109"/>
        <w:gridCol w:w="244"/>
        <w:gridCol w:w="411"/>
        <w:gridCol w:w="110"/>
        <w:gridCol w:w="109"/>
        <w:gridCol w:w="109"/>
        <w:gridCol w:w="109"/>
        <w:gridCol w:w="241"/>
        <w:gridCol w:w="91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 December 31, 2025</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Money market funds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9,416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11,078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20,494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0335"/>
                <wp:effectExtent l="0" t="0" r="0" b="0"/>
                <wp:wrapNone/>
                <wp:docPr id="146" name="Frame13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10205" w:type="dxa"/>
        <w:jc w:val="left"/>
        <w:tblInd w:w="0" w:type="dxa"/>
        <w:tblLayout w:type="fixed"/>
        <w:tblCellMar>
          <w:top w:w="28" w:type="dxa"/>
          <w:left w:w="28" w:type="dxa"/>
          <w:bottom w:w="28" w:type="dxa"/>
          <w:right w:w="28" w:type="dxa"/>
        </w:tblCellMar>
      </w:tblPr>
      <w:tblGrid>
        <w:gridCol w:w="1770"/>
        <w:gridCol w:w="1487"/>
        <w:gridCol w:w="1495"/>
        <w:gridCol w:w="241"/>
        <w:gridCol w:w="916"/>
        <w:gridCol w:w="109"/>
        <w:gridCol w:w="109"/>
        <w:gridCol w:w="109"/>
        <w:gridCol w:w="109"/>
        <w:gridCol w:w="243"/>
        <w:gridCol w:w="409"/>
        <w:gridCol w:w="109"/>
        <w:gridCol w:w="109"/>
        <w:gridCol w:w="109"/>
        <w:gridCol w:w="109"/>
        <w:gridCol w:w="241"/>
        <w:gridCol w:w="781"/>
        <w:gridCol w:w="109"/>
        <w:gridCol w:w="109"/>
        <w:gridCol w:w="109"/>
        <w:gridCol w:w="109"/>
        <w:gridCol w:w="241"/>
        <w:gridCol w:w="916"/>
        <w:gridCol w:w="157"/>
      </w:tblGrid>
      <w:tr>
        <w:trPr/>
        <w:tc>
          <w:tcPr>
            <w:tcW w:w="177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 December 31, 2024</w:t>
            </w:r>
          </w:p>
        </w:tc>
      </w:tr>
      <w:tr>
        <w:trPr/>
        <w:tc>
          <w:tcPr>
            <w:tcW w:w="4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Money market funds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12,305 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investments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12,305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12,305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 tranche liability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Total Liabilities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3,417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3,417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fair value of the Redeemable Convertible Preferred Stock Tranche Liability was based on significant inputs not observable in the market, which represent a level 3 measurement within the fair value hierarchy. The fair value of the Redeemable Convertible Preferred Stock Tranche Liability was determined using a Monte Carlo simulation forecasting the timing and likelihood of certain development milestone events being achieved and discounting the probability adjusted payments using an appropriate discount rate based on market interest rates. The main assumptions when determining the fair value of the Redeemable Convertible Preferred Stock Tranche Liability is the timing of and probability of achieving certain milestones, the estimated volatility of the Company’s common stock, and the discount rate. The estimated fair value presented is not necessarily indicative of an amount that could be realized in a current market exchange. The use of alternative inputs and estimation methodologies could have a material effect on these estimates of fair value.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Significant unobservable inputs for the Redeemable Convertible Preferred Stock Tranche Liability as of December 31, 2024 are as follows:</w:t>
      </w:r>
    </w:p>
    <w:tbl>
      <w:tblPr>
        <w:tblW w:w="10205" w:type="dxa"/>
        <w:jc w:val="left"/>
        <w:tblInd w:w="0" w:type="dxa"/>
        <w:tblLayout w:type="fixed"/>
        <w:tblCellMar>
          <w:top w:w="28" w:type="dxa"/>
          <w:left w:w="28" w:type="dxa"/>
          <w:bottom w:w="28" w:type="dxa"/>
          <w:right w:w="28" w:type="dxa"/>
        </w:tblCellMar>
      </w:tblPr>
      <w:tblGrid>
        <w:gridCol w:w="1009"/>
        <w:gridCol w:w="698"/>
        <w:gridCol w:w="700"/>
        <w:gridCol w:w="109"/>
        <w:gridCol w:w="109"/>
        <w:gridCol w:w="109"/>
        <w:gridCol w:w="626"/>
        <w:gridCol w:w="591"/>
        <w:gridCol w:w="593"/>
        <w:gridCol w:w="109"/>
        <w:gridCol w:w="109"/>
        <w:gridCol w:w="109"/>
        <w:gridCol w:w="1223"/>
        <w:gridCol w:w="1216"/>
        <w:gridCol w:w="1220"/>
        <w:gridCol w:w="109"/>
        <w:gridCol w:w="109"/>
        <w:gridCol w:w="109"/>
        <w:gridCol w:w="302"/>
        <w:gridCol w:w="293"/>
        <w:gridCol w:w="753"/>
      </w:tblGrid>
      <w:tr>
        <w:trPr/>
        <w:tc>
          <w:tcPr>
            <w:tcW w:w="10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Preferred Equity Tranche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Range/Average</w:t>
            </w:r>
          </w:p>
        </w:tc>
      </w:tr>
      <w:tr>
        <w:trPr/>
        <w:tc>
          <w:tcPr>
            <w:tcW w:w="2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Development Milestones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Monte Carlo Simulation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Probability of achieving certain development milestones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95 </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60 </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4.26 </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Timing of achieving certain development milestones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0.16 years</w:t>
            </w:r>
          </w:p>
        </w:tc>
      </w:tr>
      <w:tr>
        <w:trPr/>
        <w:tc>
          <w:tcPr>
            <w:tcW w:w="2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reflects the fair value of the Company's level 3 Redeemable Convertible Preferred Stock Tranche Liability for the year ended December 31, 2025:</w:t>
      </w:r>
    </w:p>
    <w:tbl>
      <w:tblPr>
        <w:tblW w:w="10205" w:type="dxa"/>
        <w:jc w:val="left"/>
        <w:tblInd w:w="0" w:type="dxa"/>
        <w:tblLayout w:type="fixed"/>
        <w:tblCellMar>
          <w:top w:w="28" w:type="dxa"/>
          <w:left w:w="28" w:type="dxa"/>
          <w:bottom w:w="28" w:type="dxa"/>
          <w:right w:w="28" w:type="dxa"/>
        </w:tblCellMar>
      </w:tblPr>
      <w:tblGrid>
        <w:gridCol w:w="3300"/>
        <w:gridCol w:w="2895"/>
        <w:gridCol w:w="2922"/>
        <w:gridCol w:w="226"/>
        <w:gridCol w:w="706"/>
        <w:gridCol w:w="156"/>
      </w:tblGrid>
      <w:tr>
        <w:trPr/>
        <w:tc>
          <w:tcPr>
            <w:tcW w:w="330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Fair value of the Redeemable Convertible Preferred Stock Tranche Liability as of December 31, 2024</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the Redeemable Convertible Preferred Stock Tranche Liability in March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Settlement of tranche in March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(4,943)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Fair value of the Redeemable Convertible Preferred Stock Tranche Liability as of December 31, 2025</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240"/>
        <w:jc w:val="both"/>
        <w:rPr>
          <w:rFonts w:ascii="Trade Gothic;sans-serif" w:hAnsi="Trade Gothic;sans-serif"/>
          <w:b w:val="false"/>
          <w:color w:val="000000"/>
          <w:sz w:val="19"/>
        </w:rPr>
      </w:pPr>
      <w:r>
        <w:rPr>
          <w:rFonts w:ascii="Trade Gothic;sans-serif" w:hAnsi="Trade Gothic;sans-serif"/>
          <w:b w:val="false"/>
          <w:color w:val="000000"/>
          <w:sz w:val="19"/>
        </w:rPr>
        <w:t>Short-term investments consist of fixed income U.S. treasury securities and certificates of deposit with maturities primarily between three and twelve months. The United States Treasury securities and Certificate of Deposit investments are classified as held-to-maturity and are reported at amortized cost, plus any additional costs incurred, as of December 31, 2025 and 2024. The amortized cost and fair value of held-to-maturity securities approximated each other at December 31, 2025 and 2024.</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During the years ended December 31, 2025 and 2024, there were no transfers between level 1, level 2 and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0335"/>
                <wp:effectExtent l="0" t="0" r="0" b="0"/>
                <wp:wrapNone/>
                <wp:docPr id="147" name="Frame13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6. Equity Based Compensation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Stock-based compensation expense is included in the accompanying statements of operations and comprehensive loss and is allocated to operating expenses based on the function of the related employee. Total stock-based compensation expense for the years ended December 31, 2025 and 2024 was $2.8 million and $1.5 million, respectively. Of these amounts, $1.1 million and $0.6 million were recorded to research and development expenses and $1.7 million and $0.8 million were recorded to general and administrative expenses for the years ended December 31, 2025 and 2024, respectively.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fair value of each option grant during the years ended December 31, 2025 and 2024, was estimated on the grant date using the Black-Scholes option pricing model with the following assumptions:</w:t>
      </w:r>
    </w:p>
    <w:tbl>
      <w:tblPr>
        <w:tblW w:w="6136" w:type="dxa"/>
        <w:jc w:val="left"/>
        <w:tblInd w:w="0" w:type="dxa"/>
        <w:tblLayout w:type="fixed"/>
        <w:tblCellMar>
          <w:top w:w="28" w:type="dxa"/>
          <w:left w:w="28" w:type="dxa"/>
          <w:bottom w:w="28" w:type="dxa"/>
          <w:right w:w="28" w:type="dxa"/>
        </w:tblCellMar>
      </w:tblPr>
      <w:tblGrid>
        <w:gridCol w:w="854"/>
        <w:gridCol w:w="750"/>
        <w:gridCol w:w="751"/>
        <w:gridCol w:w="174"/>
        <w:gridCol w:w="174"/>
        <w:gridCol w:w="178"/>
        <w:gridCol w:w="115"/>
        <w:gridCol w:w="115"/>
        <w:gridCol w:w="115"/>
        <w:gridCol w:w="273"/>
        <w:gridCol w:w="273"/>
        <w:gridCol w:w="279"/>
        <w:gridCol w:w="115"/>
        <w:gridCol w:w="115"/>
        <w:gridCol w:w="115"/>
        <w:gridCol w:w="174"/>
        <w:gridCol w:w="174"/>
        <w:gridCol w:w="178"/>
        <w:gridCol w:w="115"/>
        <w:gridCol w:w="115"/>
        <w:gridCol w:w="115"/>
        <w:gridCol w:w="254"/>
        <w:gridCol w:w="254"/>
        <w:gridCol w:w="361"/>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Expected volatility</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60</w:t>
            </w:r>
          </w:p>
        </w:tc>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80%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60</w:t>
            </w:r>
          </w:p>
        </w:tc>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70%</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Dividend yield</w:t>
            </w:r>
          </w:p>
        </w:tc>
        <w:tc>
          <w:tcPr>
            <w:tcW w:w="1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Risk free interest rates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3.87</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4.32%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3.99</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4.46%</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Expected term</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 years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 years</w:t>
            </w:r>
          </w:p>
        </w:tc>
      </w:tr>
      <w:tr>
        <w:trPr/>
        <w:tc>
          <w:tcPr>
            <w:tcW w:w="2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Expected volatility – Since the Company does not have sufficient stock price history, the expected volatility is calculated based on the average volatility for a peer group of companies in the industry and a similar stage of development in which the Company does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Dividend yield of zero – The Company has not, and does not, intend to pay, dividends.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Risk-free interest rates – The Company applies the risk-free interest rate based on the U.S. Treasury yield for the expected term of the option.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Expected term - For employee and non-employee stock options, the Company calculated the expected term as the average of the contractual term of the option and the vesting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estimated fair value of the Company’s Common Stock was determined by the Company’s management and board of directors and considered valuation estimates from a qualified, independent third-party valuation firm.</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Stock Option Activity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summary of stock option activity for the years ended December 31, 2025 and 2024 is as follows:</w:t>
      </w:r>
    </w:p>
    <w:tbl>
      <w:tblPr>
        <w:tblW w:w="10205" w:type="dxa"/>
        <w:jc w:val="left"/>
        <w:tblInd w:w="0" w:type="dxa"/>
        <w:tblLayout w:type="fixed"/>
        <w:tblCellMar>
          <w:top w:w="28" w:type="dxa"/>
          <w:left w:w="28" w:type="dxa"/>
          <w:bottom w:w="28" w:type="dxa"/>
          <w:right w:w="28" w:type="dxa"/>
        </w:tblCellMar>
      </w:tblPr>
      <w:tblGrid>
        <w:gridCol w:w="1226"/>
        <w:gridCol w:w="956"/>
        <w:gridCol w:w="959"/>
        <w:gridCol w:w="973"/>
        <w:gridCol w:w="777"/>
        <w:gridCol w:w="779"/>
        <w:gridCol w:w="109"/>
        <w:gridCol w:w="109"/>
        <w:gridCol w:w="109"/>
        <w:gridCol w:w="498"/>
        <w:gridCol w:w="1293"/>
        <w:gridCol w:w="241"/>
        <w:gridCol w:w="109"/>
        <w:gridCol w:w="109"/>
        <w:gridCol w:w="109"/>
        <w:gridCol w:w="345"/>
        <w:gridCol w:w="1262"/>
        <w:gridCol w:w="242"/>
      </w:tblGrid>
      <w:tr>
        <w:trPr/>
        <w:tc>
          <w:tcPr>
            <w:tcW w:w="12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and per share amounts)</w:t>
            </w:r>
          </w:p>
        </w:tc>
        <w:tc>
          <w:tcPr>
            <w:tcW w:w="2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Number of Shares Underlying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Intrinsic Value</w:t>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January 1, 2024</w:t>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1,569,972 </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5,596 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Granted</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483,594 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Cancelled / Expired</w:t>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(94,339)</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Exercised</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(443,778)</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December 31, 2024</w:t>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1,515,449 </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5,705 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Granted</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2,133,622 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Cancelled / Expired</w:t>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(61,536)</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Exercised</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(181,629)</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December 31, 2025</w:t>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3,405,906 </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19,279 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Vested and expected to vest at December 31, 2025</w:t>
            </w:r>
          </w:p>
        </w:tc>
        <w:tc>
          <w:tcPr>
            <w:tcW w:w="1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3,405,906 </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19,279 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0335"/>
                <wp:effectExtent l="0" t="0" r="0" b="0"/>
                <wp:wrapNone/>
                <wp:docPr id="148" name="Frame13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summarizes information concerning outstanding and exercisable stock options at December 31, 2025:</w:t>
      </w:r>
    </w:p>
    <w:tbl>
      <w:tblPr>
        <w:tblW w:w="10205" w:type="dxa"/>
        <w:jc w:val="left"/>
        <w:tblInd w:w="0" w:type="dxa"/>
        <w:tblLayout w:type="fixed"/>
        <w:tblCellMar>
          <w:top w:w="28" w:type="dxa"/>
          <w:left w:w="28" w:type="dxa"/>
          <w:bottom w:w="28" w:type="dxa"/>
          <w:right w:w="28" w:type="dxa"/>
        </w:tblCellMar>
      </w:tblPr>
      <w:tblGrid>
        <w:gridCol w:w="919"/>
        <w:gridCol w:w="808"/>
        <w:gridCol w:w="810"/>
        <w:gridCol w:w="563"/>
        <w:gridCol w:w="563"/>
        <w:gridCol w:w="281"/>
        <w:gridCol w:w="109"/>
        <w:gridCol w:w="109"/>
        <w:gridCol w:w="109"/>
        <w:gridCol w:w="539"/>
        <w:gridCol w:w="1398"/>
        <w:gridCol w:w="261"/>
        <w:gridCol w:w="109"/>
        <w:gridCol w:w="109"/>
        <w:gridCol w:w="109"/>
        <w:gridCol w:w="995"/>
        <w:gridCol w:w="995"/>
        <w:gridCol w:w="1419"/>
      </w:tblGrid>
      <w:tr>
        <w:trPr/>
        <w:tc>
          <w:tcPr>
            <w:tcW w:w="9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Remaining Contractual Life (Years)</w:t>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December 31, 2025</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3,405,906 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8.79</w:t>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Exercisable at December 31, 2025</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715,535 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7.06</w:t>
            </w:r>
          </w:p>
        </w:tc>
      </w:tr>
      <w:tr>
        <w:trPr/>
        <w:tc>
          <w:tcPr>
            <w:tcW w:w="25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aggregate intrinsic value of exercisable options at December 31, 2025 was $6.2 million. As of December 31, 2025, unrecognized compensation cost related to non-vested options was $13.4 million, and the weighted average period over which this amount is expected to be recognized is 2.8 years. The weighted average grant date fair value of stock options granted during the years ended December 31, 2025 and 2024 was $6.05 per share and $4.06 per share,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7. Commitments and Contingencies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Concentrations of Credit Risk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Financial instruments that potentially subject the Company to concentrations of credit risk consist principally of cash equivalents and short-term investments. Management mitigates such potential risks by maintaining the Company’s cash equivalents and short-term investment balances with entities that management believes possess high-credit quality. As of December 31, 2025 and 2024, the Company had $18.9 million and $14.6 million, respectively, on deposit that was not federally-insured or insured by the Securities Investor Protection Corporation.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University of Colorado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March 2020, the Company entered into a license agreement with the Regents of the University of Colorado, which was amended in December of 2020, May of 2023 and October of 2025, under which the Company obtained an exclusive, royalty-bearing, sublicensable, worldwide license under a patent application co-owned by the University of Colorado and us relating to an intra-ocular drug dispenser and all patents claiming priority to such patent to develop, manufacture, and commercialize products for use in the treatment of various ophthalmic diseases. The Company has the right to grant sublicenses to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consideration for the rights granted by the agreement, the Company paid a one-time, non-refundable $0.1 million license fee in conjunction with the second amendment in March 2023, which was recorded as a research and development expense in 2023. The Company is required to reimburse the University of Colorado for costs incurred in applying and maintaining patents, which are recorded as a research and development expense as incurred. The Company is also required to pay the maintenance fees on an annual basis as each of the anniversary dates from the effective date. The Company expenses this annual license fee to research and development. The Company is required to make payments to the University of Colorado for contingent milestones achieved in the development and commercialization process. The future contingent milestone payments under the Agreements made prior to FDA approval (or the equivalent) are considered contingent upon future research and development outcomes and will be expensed to research and development when issuable. If milestones are achieved, the milestone payment related to FDA approval and any subsequent milestone payments will be capitalized. In addition, the Company is required to pay future royalty payments. The future royalty payments are contingent consideration and should be recorded when payment is probable and estimable. These payments will only be made if commercialization of the Licensed Product(s) is achieved. Therefore, the Company will record royalty payable if/when commercialization is completed and revenues associated with the Licensed Product are estimable and probable. Additionally, the Company must pay the University of Colorado a percentage of the sublicense income received if the Company decides to sublicense their rights to the Licensed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recorded research and development expense in the amount of $0.2 million and $0.1 million for the years ended December 31, 2025 and 2024, respectively, under the agreement.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Legal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time to time, the Company may be involved in legal proceedings, investigations and claims generally incidental to its normal business activities. In accordance with GAAP, loss contingencies are accrued when it is probable that a liability has been incurred and the amount of the loss can be reasonably estimated. These estimates are based on an analysis made by management and external legal counsel considering information known at the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0335"/>
                <wp:effectExtent l="0" t="0" r="0" b="0"/>
                <wp:wrapNone/>
                <wp:docPr id="149" name="Frame13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F-19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September 17, 2025, Glaukos Corporation (Glaukos) filed a lawsuit in the United States District Court for the Central District of California against the Company and against one of its employees (together, the Defendants) (Case No. 8:25-cv-02105) (the Complaint). Glaukos asserted two causes of action against the Company: trade secret misappropriation under the federal Defend Trade Secrets Act, and a similar claim under California’s unfair competition statute. Glaukos asserted three claims against the employee: breach of contract, fraud regarding employee exit documentation, and a violation of the Computer Fraud and Abuse Act. The Complaint requests customary remedies, including (a) a judgment that the Company misappropriated Glaukos’ trade secrets, (b) seizure of Defendants’ computers to arrange for the deletion of any of Glaukos’ trade secrets, (c) a temporary, preliminary and permanent injunction against the Defendants from the use of certain intellectual property, (d) damages, (e) attorneys’ fees, (f) interest on any foregoing sums, and (g) any relief as the court deems just and equitable, which could include future royalty payments. Although the Company believes it has meritorious defenses, vehemently denies the allegations and intends to defend the case vigorously, the outcome of this matter is inherently uncertain. Based on management’s review of the facts and circumstances currently available, the Company does not believe that a loss is probable, and no accrual has been recorded related to this matter as of December 31, 2025 and 2024.</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Legal costs in connection with loss contingencies are generally expensed as incurred, net of insurance reimbursements as applicable. Insurance reimbursements related to such legal costs are recognized when realized or when recovery is probable and reasonably estimable, and are presented as a reduction of the related legal expense. Legal costs that are contingent upon the outcome of a proceeding are recognized upon resolution of the matter.</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Guarantees and Indemnifications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normal course of business, the Company enters into agreements that contain a variety of representations and provide for certain indemnifications. The Company’s exposure under these agreements is unknown because any such claims may be made against the Company in the future. To date, the Company has not paid any claims or been required to defend any action related to its indemnification obligations. As of December 31, 2025 and 2024, the Company does not have any material indemnification claims that were probably or reasonably possible and consequently have not recorded related liabilities.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Leases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has entered into two operating lease agreements for office and lab space in Aliso Viejo, California. The Company entered into a lease termination agreement on December 1, 2023 and subsequently reinstated the lease on October 1, 2024 for a 12 month period where the Company elected the short-term lease practical expedient and expenses lease cost on a straight line basis. The Company entered into a new lease on January 1, 2024 with a noncancelable period of 90 months, an early termination option with a substantive penalty, and a five-year renewal option. The Company did not include the termination or renewal option in considering the lease term as the Company is not likely to exercise the options. The lease was classified as an operating lease in accordance with the provisions of ASC 842, “Leases”, and discounted using an estimated incremental borrowing rate of 6.52%.</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November 22, 2025, the Company entered into a lease termination agreement related to its office and lab space in Aliso Viejo, California. Under the terms of this agreement, the Company expects to terminate the lease no later than July 2026. Additionally, on November 22, 2025, the Company entered into a new operating lease agreement for office and lab space in Irvine, California. The new lease commenced on December 1, 2025 with a noncancelable period of 91 months, with a five-year renewal option, and no early termination option. The Company did not include the renewal option in considering the lease in accordance with the provisions of ASC 842, and discounted using an estimated incremental borrowing rate of 6.42%. The Company’s operating leases do not contain any significant residual value guarantees or restrictive covenants.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 balance sheet information related to the operating leases at December 31, 2025 are as follows:</w:t>
      </w:r>
    </w:p>
    <w:tbl>
      <w:tblPr>
        <w:tblW w:w="5021" w:type="dxa"/>
        <w:jc w:val="left"/>
        <w:tblInd w:w="0" w:type="dxa"/>
        <w:tblLayout w:type="fixed"/>
        <w:tblCellMar>
          <w:top w:w="28" w:type="dxa"/>
          <w:left w:w="28" w:type="dxa"/>
          <w:bottom w:w="28" w:type="dxa"/>
          <w:right w:w="28" w:type="dxa"/>
        </w:tblCellMar>
      </w:tblPr>
      <w:tblGrid>
        <w:gridCol w:w="1049"/>
        <w:gridCol w:w="920"/>
        <w:gridCol w:w="925"/>
        <w:gridCol w:w="226"/>
        <w:gridCol w:w="706"/>
        <w:gridCol w:w="109"/>
        <w:gridCol w:w="226"/>
        <w:gridCol w:w="70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ROU asset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components of operating lease expense for the years ended December 31, 2025 and 2024 were as follows:</w:t>
      </w:r>
    </w:p>
    <w:tbl>
      <w:tblPr>
        <w:tblW w:w="6744" w:type="dxa"/>
        <w:jc w:val="left"/>
        <w:tblInd w:w="0" w:type="dxa"/>
        <w:tblLayout w:type="fixed"/>
        <w:tblCellMar>
          <w:top w:w="28" w:type="dxa"/>
          <w:left w:w="28" w:type="dxa"/>
          <w:bottom w:w="28" w:type="dxa"/>
          <w:right w:w="28" w:type="dxa"/>
        </w:tblCellMar>
      </w:tblPr>
      <w:tblGrid>
        <w:gridCol w:w="1724"/>
        <w:gridCol w:w="1514"/>
        <w:gridCol w:w="1532"/>
        <w:gridCol w:w="226"/>
        <w:gridCol w:w="406"/>
        <w:gridCol w:w="109"/>
        <w:gridCol w:w="109"/>
        <w:gridCol w:w="109"/>
        <w:gridCol w:w="109"/>
        <w:gridCol w:w="226"/>
        <w:gridCol w:w="52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lease cost (net of lease modification)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0335"/>
                <wp:effectExtent l="0" t="0" r="0" b="0"/>
                <wp:wrapNone/>
                <wp:docPr id="150" name="Frame13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5016" w:type="dxa"/>
        <w:jc w:val="left"/>
        <w:tblInd w:w="0" w:type="dxa"/>
        <w:tblLayout w:type="fixed"/>
        <w:tblCellMar>
          <w:top w:w="28" w:type="dxa"/>
          <w:left w:w="28" w:type="dxa"/>
          <w:bottom w:w="28" w:type="dxa"/>
          <w:right w:w="28" w:type="dxa"/>
        </w:tblCellMar>
      </w:tblPr>
      <w:tblGrid>
        <w:gridCol w:w="1265"/>
        <w:gridCol w:w="1113"/>
        <w:gridCol w:w="1116"/>
        <w:gridCol w:w="263"/>
        <w:gridCol w:w="263"/>
        <w:gridCol w:w="109"/>
        <w:gridCol w:w="109"/>
        <w:gridCol w:w="109"/>
        <w:gridCol w:w="109"/>
        <w:gridCol w:w="203"/>
        <w:gridCol w:w="203"/>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and variable lease cost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Variable lease costs for the year were immaterial for the years ended December 31, 2025 and 2024. Rent expense for the years end December 31, 2025 and 2024 was $0.2 million and $0.7 million, respectively, which is presented net of gain on lease modification costs of $0.5 million and $0.</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Supplemental cash flows information related to leases for the years ended December 31, 2025 and 2024 were as follows:</w:t>
      </w:r>
    </w:p>
    <w:tbl>
      <w:tblPr>
        <w:tblW w:w="10167" w:type="dxa"/>
        <w:jc w:val="left"/>
        <w:tblInd w:w="0" w:type="dxa"/>
        <w:tblLayout w:type="fixed"/>
        <w:tblCellMar>
          <w:top w:w="28" w:type="dxa"/>
          <w:left w:w="28" w:type="dxa"/>
          <w:bottom w:w="28" w:type="dxa"/>
          <w:right w:w="28" w:type="dxa"/>
        </w:tblCellMar>
      </w:tblPr>
      <w:tblGrid>
        <w:gridCol w:w="2911"/>
        <w:gridCol w:w="2554"/>
        <w:gridCol w:w="2575"/>
        <w:gridCol w:w="226"/>
        <w:gridCol w:w="706"/>
        <w:gridCol w:w="109"/>
        <w:gridCol w:w="226"/>
        <w:gridCol w:w="706"/>
        <w:gridCol w:w="154"/>
      </w:tblGrid>
      <w:tr>
        <w:trPr/>
        <w:tc>
          <w:tcPr>
            <w:tcW w:w="2911"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Cash paid for amounts included in the measurement of operating lease liabilities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ROU asset in exchange for lease liability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remaining lease term</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7.5 years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6.5 years</w:t>
            </w:r>
          </w:p>
        </w:tc>
      </w:tr>
      <w:tr>
        <w:trPr/>
        <w:tc>
          <w:tcPr>
            <w:tcW w:w="8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discount rate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6.42%</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6.52%</w:t>
            </w:r>
          </w:p>
        </w:tc>
      </w:tr>
      <w:tr>
        <w:trPr/>
        <w:tc>
          <w:tcPr>
            <w:tcW w:w="80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Future minimum lease payments under non-cancellable leases as of December 31, 2025 were as follows:</w:t>
      </w:r>
    </w:p>
    <w:tbl>
      <w:tblPr>
        <w:tblW w:w="5169" w:type="dxa"/>
        <w:jc w:val="left"/>
        <w:tblInd w:w="0" w:type="dxa"/>
        <w:tblLayout w:type="fixed"/>
        <w:tblCellMar>
          <w:top w:w="28" w:type="dxa"/>
          <w:left w:w="28" w:type="dxa"/>
          <w:bottom w:w="28" w:type="dxa"/>
          <w:right w:w="28" w:type="dxa"/>
        </w:tblCellMar>
      </w:tblPr>
      <w:tblGrid>
        <w:gridCol w:w="1408"/>
        <w:gridCol w:w="1235"/>
        <w:gridCol w:w="1241"/>
        <w:gridCol w:w="226"/>
        <w:gridCol w:w="796"/>
        <w:gridCol w:w="109"/>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2026</w:t>
            </w:r>
            <w:r>
              <w:rPr>
                <w:rFonts w:ascii="Trade Gothic;sans-serif" w:hAnsi="Trade Gothic;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2027</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2028</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2029</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2030</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Thereafter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Total future minimum lease payments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Less: imputed interest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Total lease liabilities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The Company expects to receive a tenant improvement allowance reimbursement of $2.2 million in 2026 which results in a negative lease commitment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8. Income Taxes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components of loss from continuing operations before income tax provision consist of the following:</w:t>
      </w:r>
    </w:p>
    <w:tbl>
      <w:tblPr>
        <w:tblW w:w="6009" w:type="dxa"/>
        <w:jc w:val="left"/>
        <w:tblInd w:w="0" w:type="dxa"/>
        <w:tblLayout w:type="fixed"/>
        <w:tblCellMar>
          <w:top w:w="28" w:type="dxa"/>
          <w:left w:w="28" w:type="dxa"/>
          <w:bottom w:w="28" w:type="dxa"/>
          <w:right w:w="28" w:type="dxa"/>
        </w:tblCellMar>
      </w:tblPr>
      <w:tblGrid>
        <w:gridCol w:w="1136"/>
        <w:gridCol w:w="997"/>
        <w:gridCol w:w="1002"/>
        <w:gridCol w:w="226"/>
        <w:gridCol w:w="916"/>
        <w:gridCol w:w="109"/>
        <w:gridCol w:w="109"/>
        <w:gridCol w:w="109"/>
        <w:gridCol w:w="109"/>
        <w:gridCol w:w="226"/>
        <w:gridCol w:w="91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loss before income taxes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0335"/>
                <wp:effectExtent l="0" t="0" r="0" b="0"/>
                <wp:wrapNone/>
                <wp:docPr id="151" name="Frame13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Income tax provision consists of the following:</w:t>
      </w:r>
    </w:p>
    <w:tbl>
      <w:tblPr>
        <w:tblW w:w="4809" w:type="dxa"/>
        <w:jc w:val="left"/>
        <w:tblInd w:w="0" w:type="dxa"/>
        <w:tblLayout w:type="fixed"/>
        <w:tblCellMar>
          <w:top w:w="28" w:type="dxa"/>
          <w:left w:w="28" w:type="dxa"/>
          <w:bottom w:w="28" w:type="dxa"/>
          <w:right w:w="28" w:type="dxa"/>
        </w:tblCellMar>
      </w:tblPr>
      <w:tblGrid>
        <w:gridCol w:w="788"/>
        <w:gridCol w:w="692"/>
        <w:gridCol w:w="695"/>
        <w:gridCol w:w="226"/>
        <w:gridCol w:w="796"/>
        <w:gridCol w:w="109"/>
        <w:gridCol w:w="109"/>
        <w:gridCol w:w="109"/>
        <w:gridCol w:w="109"/>
        <w:gridCol w:w="226"/>
        <w:gridCol w:w="79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Current:</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Federal</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Foreign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current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Deferred:</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Federal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State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Foreign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deferred taxes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Valuation allowance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provision</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reconciliation of the provision for income taxes to the amount computed by applying the 21% statutory U.S. federal income tax rate to income before income taxes after the adoption of ASU 2023-09 is as follows:</w:t>
      </w:r>
    </w:p>
    <w:tbl>
      <w:tblPr>
        <w:tblW w:w="7180" w:type="dxa"/>
        <w:jc w:val="left"/>
        <w:tblInd w:w="0" w:type="dxa"/>
        <w:tblLayout w:type="fixed"/>
        <w:tblCellMar>
          <w:top w:w="28" w:type="dxa"/>
          <w:left w:w="28" w:type="dxa"/>
          <w:bottom w:w="28" w:type="dxa"/>
          <w:right w:w="28" w:type="dxa"/>
        </w:tblCellMar>
      </w:tblPr>
      <w:tblGrid>
        <w:gridCol w:w="1609"/>
        <w:gridCol w:w="1412"/>
        <w:gridCol w:w="1419"/>
        <w:gridCol w:w="226"/>
        <w:gridCol w:w="796"/>
        <w:gridCol w:w="109"/>
        <w:gridCol w:w="109"/>
        <w:gridCol w:w="109"/>
        <w:gridCol w:w="109"/>
        <w:gridCol w:w="337"/>
        <w:gridCol w:w="338"/>
        <w:gridCol w:w="607"/>
      </w:tblGrid>
      <w:tr>
        <w:trPr/>
        <w:tc>
          <w:tcPr>
            <w:tcW w:w="16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 (%)</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at U.S. federal statutory rate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(8,372)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21.0 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rade Gothic;sans-serif" w:hAnsi="Trade Gothic;sans-serif"/>
                <w:b w:val="false"/>
                <w:color w:val="000000"/>
                <w:sz w:val="19"/>
              </w:rPr>
              <w:t xml:space="preserve">State income tax, net of federal tax effect </w:t>
            </w:r>
            <w:r>
              <w:rPr>
                <w:rFonts w:ascii="Trade Gothic;sans-serif" w:hAnsi="Trade Gothic;sans-serif"/>
                <w:b w:val="false"/>
                <w:color w:val="000000"/>
                <w:sz w:val="12"/>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0.0 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Tax credits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R&amp;D credits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4.0 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valuation allowance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8,957 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(22.5)</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Nontaxable and nondeductible items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Stock-based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(1.2)</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(0.5)</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Changes in unrecognized tax benefits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(0.8)</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reconciling items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0.0 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Effective tax provision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0.0 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4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(1) State and local taxes in California comprise the majority of this category.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reconciliation of the provision for income taxes to the amount computed by applying the 21% statutory U.S. federal income tax rate to income before income taxes prior to the adoption of ASU 2023-09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0335"/>
                <wp:effectExtent l="0" t="0" r="0" b="0"/>
                <wp:wrapNone/>
                <wp:docPr id="152" name="Frame13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5780" w:type="dxa"/>
        <w:jc w:val="left"/>
        <w:tblInd w:w="0" w:type="dxa"/>
        <w:tblLayout w:type="fixed"/>
        <w:tblCellMar>
          <w:top w:w="28" w:type="dxa"/>
          <w:left w:w="28" w:type="dxa"/>
          <w:bottom w:w="28" w:type="dxa"/>
          <w:right w:w="28" w:type="dxa"/>
        </w:tblCellMar>
      </w:tblPr>
      <w:tblGrid>
        <w:gridCol w:w="1668"/>
        <w:gridCol w:w="1465"/>
        <w:gridCol w:w="1471"/>
        <w:gridCol w:w="226"/>
        <w:gridCol w:w="796"/>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at U.S. federal statutory rate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State income tax, net of federal tax effect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Permanent adjustments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Loss on tranche liability fair value adjustment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R&amp;D credits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valuation allowance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Effective tax provision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was no income tax provision for each of the years ended December 31, 2025, and 2024. The effective tax rate was 0.0% for each of the years ended December 31, 2025, and 2024 and differs from the statutory federal income tax rate due to the deferred tax assets being subject to a full valuation allowance.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significant components that comprised the Company’s net deferred taxes at December 31, 2025 and 2024 are as follows:</w:t>
      </w:r>
    </w:p>
    <w:tbl>
      <w:tblPr>
        <w:tblW w:w="5944" w:type="dxa"/>
        <w:jc w:val="left"/>
        <w:tblInd w:w="0" w:type="dxa"/>
        <w:tblLayout w:type="fixed"/>
        <w:tblCellMar>
          <w:top w:w="28" w:type="dxa"/>
          <w:left w:w="28" w:type="dxa"/>
          <w:bottom w:w="28" w:type="dxa"/>
          <w:right w:w="28" w:type="dxa"/>
        </w:tblCellMar>
      </w:tblPr>
      <w:tblGrid>
        <w:gridCol w:w="1277"/>
        <w:gridCol w:w="1121"/>
        <w:gridCol w:w="1126"/>
        <w:gridCol w:w="274"/>
        <w:gridCol w:w="641"/>
        <w:gridCol w:w="109"/>
        <w:gridCol w:w="109"/>
        <w:gridCol w:w="109"/>
        <w:gridCol w:w="109"/>
        <w:gridCol w:w="274"/>
        <w:gridCol w:w="641"/>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Deferred tax assets:</w:t>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liabilities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Book over tax depreciation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Section 174 R&amp;E expenditures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Sales and bad debt allowances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Accrued compensation</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operating loss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Credits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deferred tax assets</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25,416 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Valuation allowance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(24,954)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deferred tax assets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Deferred tax liabilities:</w:t>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Right-of-use assets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Tax over book depreciation</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deferred tax liabilities</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deferred tax assets (liabilities)</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Under the provisions of ASC 740, management is required to evaluate whether a valuation allowance should be established against its deferred tax assets based on the consideration of all available evidence using a “more likely than not” standard. Realization of deferred tax assets is dependent upon taxable income in prior carryback years, estimates of future taxable income, tax planning strategies, and reversal of existing taxable temporary differences. ASC 740 provides that forming a conclusion that a valuation allowance is not needed is difficult when there is negative evidence such as cumulative losses in recent years or losses expected in early future years. As of December 31, 2025, and 2024, due to cumulative losses in recent years, the Company maintained a valuation allowance in the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0335"/>
                <wp:effectExtent l="0" t="0" r="0" b="0"/>
                <wp:wrapNone/>
                <wp:docPr id="153" name="Frame13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$25.0 million and $15.0 million, respectively, against deferred tax assets that were not more likely than not of being realized.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and 2024, the Company had federal net operating loss (“NOL”) carryforwards of $76.5 million and $33.5 million, respectively and state NOL carryforwards of $5.0 million and $5.0 million, respectively. Due to the enactment of the Tax Cuts and Jobs Act, federal net operating losses generated beginning in 2018 are carried forward indefinitely. Therefore, the Company’s federal NOL carryforwards do not expire. The state NOL carryforwards begin to expire in 2029.</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and 2024, the Company had federal general business credit carryforwards of $3.3 million and $1.7 million, respectively and state general business credit carryforwards of $4.2 million and $2.6 million, respectively. The federal general business credit carryforwards begin to expire in 2039. The Company's state general business credit carryforwards do not expire.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general, if the Company experiences a greater than 50 percentage point aggregate change in ownership of certain significant stockholders over a three-year period, utilization of its pre-change NOL carryforwards and general business credit carryforwards is subject to an annual limitation under Sections 382 and 383 of the Internal Revenue Code of 1986, as amended, and similar state laws. The annual limitation generally is determined by multiplying the value of the Company’s stock at the time of such ownership change, subject to certain adjustments, by the applicable long-term tax-exempt rate. The annual limitations may result in the expiration of NOL and general business credit carryforwards before utilization and may be material. The Company completed an analysis to determine whether its NOL and general business credits generated through June 30, 2025, are likely to be limited by Section 382 and 383. The Company determined that ownership changes as defined under Section 382 may have occurred and that the resulting limitation would reduce the Company’s ability to utilize its NOL and general business credit carryforwards in the near future. Additionally, future ownership changes under Section 382 and 383 may also reduce the Company's ability to utilize tax attributes. As of December 31, 2025, the Company’s net deferred income tax assets have been offset by a valuation allowance. Therefore, any resulting reduction to the Company’s NOL and general business credit carryforwards will be offset by a corresponding reduction of the valuation allowance and there would be no impact on the Company’s balance sheet, statement of operations, or cash flows.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Reconciliation of unrecognized tax benefits:</w:t>
      </w:r>
    </w:p>
    <w:tbl>
      <w:tblPr>
        <w:tblW w:w="7073" w:type="dxa"/>
        <w:jc w:val="left"/>
        <w:tblInd w:w="0" w:type="dxa"/>
        <w:tblLayout w:type="fixed"/>
        <w:tblCellMar>
          <w:top w:w="28" w:type="dxa"/>
          <w:left w:w="28" w:type="dxa"/>
          <w:bottom w:w="28" w:type="dxa"/>
          <w:right w:w="28" w:type="dxa"/>
        </w:tblCellMar>
      </w:tblPr>
      <w:tblGrid>
        <w:gridCol w:w="1674"/>
        <w:gridCol w:w="1469"/>
        <w:gridCol w:w="1476"/>
        <w:gridCol w:w="226"/>
        <w:gridCol w:w="706"/>
        <w:gridCol w:w="109"/>
        <w:gridCol w:w="109"/>
        <w:gridCol w:w="109"/>
        <w:gridCol w:w="109"/>
        <w:gridCol w:w="226"/>
        <w:gridCol w:w="70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Balance as of beginning of year</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Increases related to current 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Balance as of end of year</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has considered the amounts and probabilities of the outcomes that can be realized upon ultimate settlement with the tax authorities and determined unrecognized tax benefits should be established as noted in the summary rollforward. The Company’s effective income tax rate would not be impacted if the unrecognized tax benefits are recognized, due to the full valuation allowance. The Company does not expect its unrecognized tax benefits to change significantly over the next 12 months.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has no liabilities recorded for uncertain tax positions but does have unrecognized tax benefits of $2.3 and $1.7 million, which have been recorded as a direct reduction to the deferred tax asset as of the year ended December 31, 2025, and 2024.</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policy is to recognize interest expense and penalties related to income tax matters as a component of income tax expense. There were no accrued interest and penalties associated with uncertain tax positions as of December 31, 2025, and 2024. The Company’s tax returns for all years since inception are open for audit.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amount of income taxes paid by the Company in cash in 2025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0335"/>
                <wp:effectExtent l="0" t="0" r="0" b="0"/>
                <wp:wrapNone/>
                <wp:docPr id="154" name="Frame13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5586" w:type="dxa"/>
        <w:jc w:val="left"/>
        <w:tblInd w:w="0" w:type="dxa"/>
        <w:tblLayout w:type="fixed"/>
        <w:tblCellMar>
          <w:top w:w="28" w:type="dxa"/>
          <w:left w:w="28" w:type="dxa"/>
          <w:bottom w:w="28" w:type="dxa"/>
          <w:right w:w="28" w:type="dxa"/>
        </w:tblCellMar>
      </w:tblPr>
      <w:tblGrid>
        <w:gridCol w:w="1739"/>
        <w:gridCol w:w="1525"/>
        <w:gridCol w:w="1536"/>
        <w:gridCol w:w="226"/>
        <w:gridCol w:w="406"/>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Federal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State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rade Gothic;sans-serif" w:hAnsi="Trade Gothic;sans-serif"/>
                <w:b w:val="false"/>
                <w:color w:val="000000"/>
                <w:sz w:val="19"/>
              </w:rPr>
              <w:t>California</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rade Gothic;sans-serif" w:hAnsi="Trade Gothic;sans-serif"/>
                <w:b w:val="false"/>
                <w:color w:val="000000"/>
                <w:sz w:val="19"/>
              </w:rPr>
              <w:t>New Jersey</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cash paid for income taxes, net of refunds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9. Related Party Transactions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Dr. Malik Y. Kahook, the Company’s co-founder, board chair, and chief medical officer, is a party to a services agreement with the Company and the University of Colorado Medicine, pursuant to which he provides services to the Company in connection with the responsibilities associated with his positions. Such service expenses are recorded within general and administrative operating expenses given the executive management and corporate governance related nature of Dr. Kahook’s positions. In conjunction with this agreement, the Company paid the University of Colorado Medicine $0.3 million and $0.3 million during the years ended December 31, 2025 and 2024, respectively. The terms of the services agreement, which automatically renews each year, were approved by the Company’s board of directors. $25.0 thousand and $24.2 thousand was payable to the University of Colorado Medicine under this agreement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10. Defined Contribution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has a defined contribution savings plan under Section 401(k) of the Internal Revenue Code. The plan covers substantially all employees who meet minimum age and eligibility requirements and allows participants to defer a portion of their annual compensation on a pretax and/or after-tax basis. Company contributions to the plan may be made at the discretion of the Company’s board of directors. There were no contributions made by the Company during each of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11. Segment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operates as a single reportable and single operating segment in the development of the treatment paradigm for patients living with chronic eye conditions through long-acting, sustained drug delivery of approved medicines. The Company has not generated revenues since inception. The Company’s chief operating decision maker (“CODM”) is its chief executive officer. The CODM reviews financial information on a basis consistent with the information presented in the financial statements for purposes of making operating decisions, allocating resources, and evaluating financial performance. The Company’s CODM uses operating loss as the measure to evaluate the segment’s operating performance and to monitor budgeted to actual expenditures associated with capital projects. The measure of segment assets is reported on the Company’s balance sheets as total assets.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Significant segment expenses and other segment items are reviewed by the CODM on a disaggregated basis as follows:</w:t>
      </w:r>
    </w:p>
    <w:tbl>
      <w:tblPr>
        <w:tblW w:w="6039" w:type="dxa"/>
        <w:jc w:val="left"/>
        <w:tblInd w:w="0" w:type="dxa"/>
        <w:tblLayout w:type="fixed"/>
        <w:tblCellMar>
          <w:top w:w="28" w:type="dxa"/>
          <w:left w:w="28" w:type="dxa"/>
          <w:bottom w:w="28" w:type="dxa"/>
          <w:right w:w="28" w:type="dxa"/>
        </w:tblCellMar>
      </w:tblPr>
      <w:tblGrid>
        <w:gridCol w:w="1212"/>
        <w:gridCol w:w="1065"/>
        <w:gridCol w:w="1068"/>
        <w:gridCol w:w="226"/>
        <w:gridCol w:w="826"/>
        <w:gridCol w:w="109"/>
        <w:gridCol w:w="109"/>
        <w:gridCol w:w="109"/>
        <w:gridCol w:w="109"/>
        <w:gridCol w:w="226"/>
        <w:gridCol w:w="82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Year Ended December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Salaries and benefits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Professional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Lead product project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Rental and facilities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 xml:space="preserve">Other segment items </w:t>
            </w:r>
            <w:r>
              <w:rPr>
                <w:rFonts w:ascii="Trade Gothic;sans-serif" w:hAnsi="Trade Gothic;sans-serif"/>
                <w:b w:val="false"/>
                <w:color w:val="000000"/>
                <w:sz w:val="12"/>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Other segment items primarily consist of costs associated with early-stage research and development programs, business travel and state related taxes, interest income and the change in fair value of redeemable convertible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0335"/>
                <wp:effectExtent l="0" t="0" r="0" b="0"/>
                <wp:wrapNone/>
                <wp:docPr id="155" name="Frame14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12. Net Loss Per Share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sets forth the computation of basic and diluted net loss per share of common stock. Diluted net loss per share considers the more dilutive of the two-class method and if-converted method. The Company’s potentially dilutive securities have been excluded from the computation of diluted net loss per share as the effect would be to reduce the net loss per share. Therefore, the weighted average number of shares of common stock outstanding used to calculate both basic and diluted net loss per share is the same.</w:t>
      </w:r>
    </w:p>
    <w:tbl>
      <w:tblPr>
        <w:tblW w:w="8423" w:type="dxa"/>
        <w:jc w:val="left"/>
        <w:tblInd w:w="0" w:type="dxa"/>
        <w:tblLayout w:type="fixed"/>
        <w:tblCellMar>
          <w:top w:w="28" w:type="dxa"/>
          <w:left w:w="28" w:type="dxa"/>
          <w:bottom w:w="28" w:type="dxa"/>
          <w:right w:w="28" w:type="dxa"/>
        </w:tblCellMar>
      </w:tblPr>
      <w:tblGrid>
        <w:gridCol w:w="2009"/>
        <w:gridCol w:w="1767"/>
        <w:gridCol w:w="1773"/>
        <w:gridCol w:w="226"/>
        <w:gridCol w:w="916"/>
        <w:gridCol w:w="109"/>
        <w:gridCol w:w="109"/>
        <w:gridCol w:w="109"/>
        <w:gridCol w:w="109"/>
        <w:gridCol w:w="226"/>
        <w:gridCol w:w="916"/>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Year Ended December 31,</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and per share amounts)</w:t>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(29,164)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Basic and diluted weighted-average shares outstanding</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2,217,104 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1,788,211 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Basic net loss per share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Diluted net loss per share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redeemable convertible preferred stock and stock-based compensation awards could have the most significant impact on diluted shares should the instruments represent dilutive instruments. However, securities that could potentially be dilutive are excluded from the computation of diluted earnings per share when a loss from continuing operations exists or when the exercise price exceeds the average closing price of the Company’s shares of common stock during the period, because their inclusion would result in an anti-dilutive effect on the per share amounts.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amounts were not included in the calculation of net loss per diluted share for the periods presented because their effects were anti-dilutive:</w:t>
      </w:r>
    </w:p>
    <w:tbl>
      <w:tblPr>
        <w:tblW w:w="7998" w:type="dxa"/>
        <w:jc w:val="left"/>
        <w:tblInd w:w="0" w:type="dxa"/>
        <w:tblLayout w:type="fixed"/>
        <w:tblCellMar>
          <w:top w:w="28" w:type="dxa"/>
          <w:left w:w="28" w:type="dxa"/>
          <w:bottom w:w="28" w:type="dxa"/>
          <w:right w:w="28" w:type="dxa"/>
        </w:tblCellMar>
      </w:tblPr>
      <w:tblGrid>
        <w:gridCol w:w="1463"/>
        <w:gridCol w:w="1292"/>
        <w:gridCol w:w="1294"/>
        <w:gridCol w:w="704"/>
        <w:gridCol w:w="542"/>
        <w:gridCol w:w="268"/>
        <w:gridCol w:w="268"/>
        <w:gridCol w:w="268"/>
        <w:gridCol w:w="268"/>
        <w:gridCol w:w="711"/>
        <w:gridCol w:w="535"/>
        <w:gridCol w:w="385"/>
      </w:tblGrid>
      <w:tr>
        <w:trPr/>
        <w:tc>
          <w:tcPr>
            <w:tcW w:w="14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Year Ended December 31,</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3,405,906 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1,515,449 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9,608,914 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23,747,874 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11,124,363 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13. Subsequent Events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evaluated subsequent events that occurred after the balance sheet date through March 26, 2026, the date the financial statements were available to be issued. Based upon this evaluation, the Company did not identify any other subsequent events that would require adjustment or disclosure in the financial statements, except as described below.</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Reverse Stock Split</w:t>
      </w:r>
    </w:p>
    <w:p>
      <w:pPr>
        <w:pStyle w:val="TextBody"/>
        <w:bidi w:val="0"/>
        <w:spacing w:lineRule="auto" w:line="276"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board of directors approved a one-for-5.7329 reverse stock split effective on January 28, 2026 of its issued and outstanding common stock, Series A, Series B, Series C-1, Series C-2, and Series D redeemable convertible preferred stock. Stockholders entitled to fractional shares as a result of the reverse stock split received a cash payment in lieu of receiving fractional shares. Accordingly, all share and per share amounts for all periods presented in the accompanying financial statements and notes thereto have been retroactively adjusted, where applicable, to reflect the effects of the reverse stock split. The authorized shares and par value of the common stock and preferred stock remain unchanged. As the number, issuance price, and conversion price of all outstanding preferred stock were adjusted, the conversion ratios for each series of the Company’s preferred stock were unchanged. Additionally, the number of shares of common stock underlying outstanding stock options were proportionately reduced and the respective exercise prices were proportionately increased in accordance with the terms of the appropriate agreements.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Initial Public Offering of Common Stock</w:t>
      </w:r>
    </w:p>
    <w:p>
      <w:pPr>
        <w:pStyle w:val="TextBody"/>
        <w:bidi w:val="0"/>
        <w:spacing w:lineRule="auto" w:line="268" w:before="0" w:after="240"/>
        <w:jc w:val="left"/>
        <w:rPr/>
      </w:pPr>
      <w:r>
        <w:rPr>
          <w:rFonts w:ascii="Trade Gothic;sans-serif" w:hAnsi="Trade Gothic;sans-serif"/>
          <w:b w:val="false"/>
          <w:color w:val="000000"/>
          <w:sz w:val="19"/>
        </w:rPr>
        <w:t>On February 9, 2026, the Company closed its initial public offering of 10,781,250 shares of common stock, which includes the exercise in full of the underwriters’ option to purchase 1,406,250 additional shares of common stock, at a public offering price of $16.00 per share. The aggregate gross proceeds from the offering were $172.5 million, before deducting underwriting discounts and commissions and other offering expenses. Upon the pricing of the IPO, on February 5, 2026, the Company granted 1,312,044 options to purchase common stock at the public offering price under the Company’s 2026 Equity Incentive Plan, which became effective</w:t>
      </w:r>
      <w:r>
        <w:rPr>
          <w:color w:val="000000"/>
        </w:rPr>
        <w:t xml:space="preserve"> </w:t>
      </w:r>
      <w:r>
        <w:rPr>
          <w:rFonts w:ascii="Trade Gothic;sans-serif" w:hAnsi="Trade Gothic;sans-serif"/>
          <w:b w:val="false"/>
          <w:color w:val="000000"/>
          <w:sz w:val="19"/>
        </w:rPr>
        <w:t xml:space="preserve">in connection with the IPO. The 2019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0335"/>
                <wp:effectExtent l="0" t="0" r="0" b="0"/>
                <wp:wrapNone/>
                <wp:docPr id="156" name="Frame14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68" w:before="0" w:after="240"/>
        <w:jc w:val="left"/>
        <w:rPr>
          <w:rFonts w:ascii="Trade Gothic;sans-serif" w:hAnsi="Trade Gothic;sans-serif"/>
          <w:b w:val="false"/>
          <w:color w:val="000000"/>
          <w:sz w:val="19"/>
        </w:rPr>
      </w:pPr>
      <w:r>
        <w:rPr>
          <w:rFonts w:ascii="Trade Gothic;sans-serif" w:hAnsi="Trade Gothic;sans-serif"/>
          <w:b w:val="false"/>
          <w:color w:val="000000"/>
          <w:sz w:val="19"/>
        </w:rPr>
        <w:t>terminated upon the effectiveness of the 2026 Equity Incentive Plan, and the Company will not grant any additional awards under the 2019 Plan following its termination. However, the 2019 Plan will continue to govern the terms and conditions of the outstanding awards previously granted under our 2019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0335"/>
                <wp:effectExtent l="0" t="0" r="0" b="0"/>
                <wp:wrapNone/>
                <wp:docPr id="157" name="Frame14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F-27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color w:val="000000"/>
          <w:sz w:val="20"/>
        </w:rPr>
        <w:t xml:space="preserve">Item 9. </w:t>
      </w:r>
      <w:hyperlink w:anchor="ifaf54775e85441fc836f60bc7c4f1464_133">
        <w:r>
          <w:rPr>
            <w:rStyle w:val="InternetLink"/>
            <w:rFonts w:ascii="Trade Gothic;sans-serif" w:hAnsi="Trade Gothic;sans-serif"/>
            <w:b/>
            <w:strike w:val="false"/>
            <w:dstrike w:val="false"/>
            <w:color w:val="000000"/>
            <w:sz w:val="20"/>
            <w:u w:val="none"/>
            <w:effect w:val="none"/>
          </w:rPr>
          <w:t>Changes in and Disagreements With Accountants on Accounting and Financial Disclosures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9A. </w:t>
      </w:r>
      <w:hyperlink w:anchor="ifaf54775e85441fc836f60bc7c4f1464_136">
        <w:r>
          <w:rPr>
            <w:rStyle w:val="InternetLink"/>
            <w:rFonts w:ascii="Trade Gothic;sans-serif" w:hAnsi="Trade Gothic;sans-serif"/>
            <w:b/>
            <w:strike w:val="false"/>
            <w:dstrike w:val="false"/>
            <w:color w:val="000000"/>
            <w:sz w:val="20"/>
            <w:u w:val="none"/>
            <w:effect w:val="none"/>
          </w:rPr>
          <w:t>Controls and Procedures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Evaluation of Disclosure Controls and Procedures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Exchange Act as of the end of the period covered by this Annual Report. Our disclosure controls and procedures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not effective at a reasonable assurance level as of December 31, 2025 because of the material weakness in internal controls further discussed below.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preparation of our financial statements for the years ended December 31, 2025 and 2024,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the annual or interim financial statements will not be prevented or detected on a timely basis. If one or more material weaknesses persist or if we fail to establish and maintain effective internal control over financial reporting, our ability to accurately report our financial results could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material weakness that we identified was attributable to control deficiencies related to an insufficient complement of personnel with an appropriate level of technical knowledge for oversight of specialists and to create the proper environment for effective internal control over financial reporting, the lack of an effective risk assessment process, the lack of formalized processes and control activities to support the appropriate segregation of duties over the review of account reconciliations and journal entries, and the lack of monitoring and communication of control processes and relevant accounting policies and procedures. Management is taking steps to remediate the material weakness in our internal control over financial reporting, including hiring additional accounting personnel to assume transaction level responsibilities to appropriately segregate duties between preparers and reviewers.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be required, pursuant to Section 404(a) of the Sarbanes-Oxley Act,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Management’s Annual Report on Internal Control Over Financial Reporting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This Annual Report does not include a report of management's assessment regarding internal control over financial reporting due to a transition period established by rules of the SEC for newly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0335"/>
                <wp:effectExtent l="0" t="0" r="0" b="0"/>
                <wp:wrapNone/>
                <wp:docPr id="158" name="Frame14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This Annual Report does not include an attestation report of our independent registered public accounting firm on our internal control over financial reporting as required by Section 404(b) of the Sarbanes-Oxley Act of 2002. Because we are a non-accelerated filer under the SEC rules and an emerging growth company, the Company’s independent registered public accounting firm is not required to issue such an attestation report.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Changes in Internal Control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Except for the identification of the material weakness and the remediation plan described above, there have been no changes in our internal control over financial reporting (as defined in Rules 13a-15(f) and 15d-15(f) of the Exchange Act) during the period covered by this Annual Report that have materially affected, or are likely to materially affect, our internal control over financial reporting.</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Limitations on Effectiveness of Controls and Procedures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9B. </w:t>
      </w:r>
      <w:hyperlink w:anchor="ifaf54775e85441fc836f60bc7c4f1464_139">
        <w:r>
          <w:rPr>
            <w:rStyle w:val="InternetLink"/>
            <w:rFonts w:ascii="Trade Gothic;sans-serif" w:hAnsi="Trade Gothic;sans-serif"/>
            <w:b/>
            <w:strike w:val="false"/>
            <w:dstrike w:val="false"/>
            <w:color w:val="000000"/>
            <w:sz w:val="20"/>
            <w:u w:val="none"/>
            <w:effect w:val="none"/>
          </w:rPr>
          <w:t>Other Information</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9C. </w:t>
      </w:r>
      <w:hyperlink w:anchor="ifaf54775e85441fc836f60bc7c4f1464_142">
        <w:r>
          <w:rPr>
            <w:rStyle w:val="InternetLink"/>
            <w:rFonts w:ascii="Trade Gothic;sans-serif" w:hAnsi="Trade Gothic;sans-serif"/>
            <w:b/>
            <w:strike w:val="false"/>
            <w:dstrike w:val="false"/>
            <w:color w:val="000000"/>
            <w:sz w:val="20"/>
            <w:u w:val="none"/>
            <w:effect w:val="none"/>
          </w:rPr>
          <w:t>Disclosure Regarding Foreign Jurisdiction that Prevent Inspections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0335"/>
                <wp:effectExtent l="0" t="0" r="0" b="0"/>
                <wp:wrapNone/>
                <wp:docPr id="159" name="Frame14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10. </w:t>
      </w:r>
      <w:hyperlink w:anchor="ifaf54775e85441fc836f60bc7c4f1464_148">
        <w:r>
          <w:rPr>
            <w:rStyle w:val="InternetLink"/>
            <w:rFonts w:ascii="Trade Gothic;sans-serif" w:hAnsi="Trade Gothic;sans-serif"/>
            <w:b/>
            <w:strike w:val="false"/>
            <w:dstrike w:val="false"/>
            <w:color w:val="000000"/>
            <w:sz w:val="20"/>
            <w:u w:val="none"/>
            <w:effect w:val="none"/>
          </w:rPr>
          <w:t>Directors, Executive Officers and Corporate Governance</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sets forth the names, ages and positions of our executive officers, key employees and directors as of March 1, 2026:</w:t>
      </w:r>
    </w:p>
    <w:tbl>
      <w:tblPr>
        <w:tblW w:w="10205" w:type="dxa"/>
        <w:jc w:val="left"/>
        <w:tblInd w:w="0" w:type="dxa"/>
        <w:tblLayout w:type="fixed"/>
        <w:tblCellMar>
          <w:top w:w="28" w:type="dxa"/>
          <w:left w:w="28" w:type="dxa"/>
          <w:bottom w:w="28" w:type="dxa"/>
          <w:right w:w="28" w:type="dxa"/>
        </w:tblCellMar>
      </w:tblPr>
      <w:tblGrid>
        <w:gridCol w:w="998"/>
        <w:gridCol w:w="763"/>
        <w:gridCol w:w="759"/>
        <w:gridCol w:w="109"/>
        <w:gridCol w:w="109"/>
        <w:gridCol w:w="109"/>
        <w:gridCol w:w="155"/>
        <w:gridCol w:w="155"/>
        <w:gridCol w:w="156"/>
        <w:gridCol w:w="109"/>
        <w:gridCol w:w="109"/>
        <w:gridCol w:w="109"/>
        <w:gridCol w:w="1996"/>
        <w:gridCol w:w="1893"/>
        <w:gridCol w:w="2676"/>
      </w:tblGrid>
      <w:tr>
        <w:trPr/>
        <w:tc>
          <w:tcPr>
            <w:tcW w:w="99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Position(s)</w:t>
            </w:r>
          </w:p>
        </w:tc>
      </w:tr>
      <w:tr>
        <w:trPr/>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i/>
                <w:color w:val="000000"/>
                <w:sz w:val="20"/>
              </w:rPr>
            </w:pPr>
            <w:r>
              <w:rPr>
                <w:rFonts w:ascii="Trade Gothic;sans-serif" w:hAnsi="Trade Gothic;sans-serif"/>
                <w:b/>
                <w:i/>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Patrick Mooney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Chief Executive Officer and Director</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Malik Y. Kahook,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Co-founder, President, Chief Medical Officer, Executive Chair of the Board and Director</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James Dennewill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Chief Operating Officer</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Chetan Pujara,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Chief Research and Development Officer</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Jean-Frédéric Viret,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Chief Financial Officer</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i/>
                <w:color w:val="000000"/>
                <w:sz w:val="20"/>
              </w:rPr>
            </w:pPr>
            <w:r>
              <w:rPr>
                <w:rFonts w:ascii="Trade Gothic;sans-serif" w:hAnsi="Trade Gothic;sans-serif"/>
                <w:b/>
                <w:i/>
                <w:color w:val="000000"/>
                <w:sz w:val="20"/>
              </w:rPr>
              <w:t>Key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Glenn Sussman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Co-founder and Chief Technology Advisor</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i/>
                <w:color w:val="000000"/>
                <w:sz w:val="20"/>
              </w:rPr>
            </w:pPr>
            <w:r>
              <w:rPr>
                <w:rFonts w:ascii="Trade Gothic;sans-serif" w:hAnsi="Trade Gothic;sans-serif"/>
                <w:b/>
                <w:i/>
                <w:color w:val="000000"/>
                <w:sz w:val="20"/>
              </w:rPr>
              <w:t xml:space="preserve">Non-Employee Directors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Ali Behbahani, M.D.</w:t>
            </w:r>
            <w:r>
              <w:rPr>
                <w:rFonts w:ascii="Trade Gothic;sans-serif" w:hAnsi="Trade Gothic;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Director</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Habib J. Dable</w:t>
            </w:r>
            <w:r>
              <w:rPr>
                <w:rFonts w:ascii="Trade Gothic;sans-serif" w:hAnsi="Trade Gothic;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Director</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Michael Dybbs, Ph.D.</w:t>
            </w:r>
            <w:r>
              <w:rPr>
                <w:rFonts w:ascii="Trade Gothic;sans-serif" w:hAnsi="Trade Gothic;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Director</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Bilal Khan</w:t>
            </w:r>
            <w:r>
              <w:rPr>
                <w:rFonts w:ascii="Trade Gothic;sans-serif" w:hAnsi="Trade Gothic;sans-serif"/>
                <w:b w:val="false"/>
                <w:color w:val="000000"/>
                <w:sz w:val="12"/>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Director</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Kirk Nielsen</w:t>
            </w:r>
            <w:r>
              <w:rPr>
                <w:rFonts w:ascii="Trade Gothic;sans-serif" w:hAnsi="Trade Gothic;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Director</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Elizabeth O’Farrell</w:t>
            </w:r>
            <w:r>
              <w:rPr>
                <w:rFonts w:ascii="Trade Gothic;sans-serif" w:hAnsi="Trade Gothic;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Director</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Geoff Pardo</w:t>
            </w:r>
            <w:r>
              <w:rPr>
                <w:rFonts w:ascii="Trade Gothic;sans-serif" w:hAnsi="Trade Gothic;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Director</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Zach Scheiner, Ph.D.</w:t>
            </w:r>
            <w:r>
              <w:rPr>
                <w:rFonts w:ascii="Trade Gothic;sans-serif" w:hAnsi="Trade Gothic;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Director</w:t>
            </w:r>
          </w:p>
        </w:tc>
      </w:tr>
      <w:tr>
        <w:trPr/>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Member of the audit committee.</w:t>
      </w:r>
    </w:p>
    <w:p>
      <w:pPr>
        <w:pStyle w:val="TextBody"/>
        <w:bidi w:val="0"/>
        <w:spacing w:lineRule="auto" w:line="240" w:before="0" w:after="0"/>
        <w:ind w:left="0" w:right="0" w:hanging="360"/>
        <w:jc w:val="left"/>
        <w:rPr/>
      </w:pPr>
      <w:r>
        <w:rPr>
          <w:rFonts w:ascii="Trade Gothic;sans-serif" w:hAnsi="Trade Gothic;sans-serif"/>
          <w:b w:val="false"/>
          <w:color w:val="000000"/>
          <w:sz w:val="11"/>
        </w:rPr>
        <w:t>(2)</w:t>
      </w:r>
      <w:r>
        <w:rPr>
          <w:rFonts w:ascii="Trade Gothic;sans-serif" w:hAnsi="Trade Gothic;sans-serif"/>
          <w:b w:val="false"/>
          <w:color w:val="000000"/>
          <w:sz w:val="17"/>
        </w:rPr>
        <w:t>Member of the compensation committee.</w:t>
      </w:r>
    </w:p>
    <w:p>
      <w:pPr>
        <w:pStyle w:val="TextBody"/>
        <w:bidi w:val="0"/>
        <w:spacing w:lineRule="auto" w:line="240" w:before="0" w:after="240"/>
        <w:ind w:left="0" w:right="0" w:hanging="360"/>
        <w:jc w:val="left"/>
        <w:rPr/>
      </w:pPr>
      <w:r>
        <w:rPr>
          <w:rFonts w:ascii="Trade Gothic;sans-serif" w:hAnsi="Trade Gothic;sans-serif"/>
          <w:b w:val="false"/>
          <w:color w:val="000000"/>
          <w:sz w:val="11"/>
        </w:rPr>
        <w:t>(3)</w:t>
      </w:r>
      <w:r>
        <w:rPr>
          <w:rFonts w:ascii="Trade Gothic;sans-serif" w:hAnsi="Trade Gothic;sans-serif"/>
          <w:b w:val="false"/>
          <w:color w:val="000000"/>
          <w:sz w:val="17"/>
        </w:rPr>
        <w:t>Member of the nominating and corporate governance committee.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Executive Officers</w:t>
      </w:r>
    </w:p>
    <w:p>
      <w:pPr>
        <w:pStyle w:val="TextBody"/>
        <w:bidi w:val="0"/>
        <w:spacing w:lineRule="auto" w:line="288" w:before="0" w:after="240"/>
        <w:jc w:val="left"/>
        <w:rPr/>
      </w:pPr>
      <w:r>
        <w:rPr>
          <w:rFonts w:ascii="Trade Gothic;sans-serif" w:hAnsi="Trade Gothic;sans-serif"/>
          <w:b/>
          <w:i/>
          <w:color w:val="000000"/>
          <w:sz w:val="19"/>
        </w:rPr>
        <w:t>Patrick Mooney</w:t>
      </w:r>
      <w:r>
        <w:rPr>
          <w:color w:val="000000"/>
        </w:rPr>
        <w:t xml:space="preserve"> </w:t>
      </w:r>
      <w:r>
        <w:rPr>
          <w:rFonts w:ascii="Trade Gothic;sans-serif" w:hAnsi="Trade Gothic;sans-serif"/>
          <w:b w:val="false"/>
          <w:color w:val="000000"/>
          <w:sz w:val="19"/>
        </w:rPr>
        <w:t>has served as our chief executive officer and a member of our board of directors since July 2021. Previously, from March 2017 to April 2021, Mr. Mooney served in various roles at Novartis, a pharmaceutical company, including vice president and head, Novartis Ophthalmic. Mr. Mooney also held various positions at Alcon, a pharmaceutical and medical device company, including leadership positions of increasing responsibility in sales, marketing and operations in the United States and Asia. Mr. Mooney holds a B.B.A. in marketing from the University of Wisconsin-Whitewater.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Mr. Mooney is qualified to serve on our board of directors because of his knowledge of our business and his extensive leadership and operational experience within the ophthalmology industry.</w:t>
      </w:r>
    </w:p>
    <w:p>
      <w:pPr>
        <w:pStyle w:val="TextBody"/>
        <w:bidi w:val="0"/>
        <w:spacing w:lineRule="auto" w:line="288" w:before="0" w:after="240"/>
        <w:jc w:val="left"/>
        <w:rPr/>
      </w:pPr>
      <w:r>
        <w:rPr>
          <w:rFonts w:ascii="Trade Gothic;sans-serif" w:hAnsi="Trade Gothic;sans-serif"/>
          <w:b/>
          <w:i/>
          <w:color w:val="000000"/>
          <w:sz w:val="19"/>
        </w:rPr>
        <w:t>Malik Y. Kahook, M.D.</w:t>
      </w:r>
      <w:r>
        <w:rPr>
          <w:color w:val="000000"/>
        </w:rPr>
        <w:t xml:space="preserve"> </w:t>
      </w:r>
      <w:r>
        <w:rPr>
          <w:rFonts w:ascii="Trade Gothic;sans-serif" w:hAnsi="Trade Gothic;sans-serif"/>
          <w:b w:val="false"/>
          <w:color w:val="000000"/>
          <w:sz w:val="19"/>
        </w:rPr>
        <w:t>co-founded SpyGlass and has served as our president and a member of our board of directors since January 2019, our chief medical officer since August 2024 and from January 2019 through November 2023, and our executive chair since January 2021. Since April 2012, Dr. Kahook has served as a professor and The Slater Family Endowed Chair in Ophthalmology at the University of Colorado Health, a healthcare system, and from June 2006 to April 2012, Dr. Kahook served as an associate professor at the University of Colorado Health. From October 2012 to November 2017, Dr. Kahook served as medical director of ClarVista Medical, an ophthalmology device company, that was acquired by Alcon in 2017. Dr. Kahook holds a B.S.N. from The University of Akron and an M.D., Medicine from the Northeast Ohio Medical University.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0335"/>
                <wp:effectExtent l="0" t="0" r="0" b="0"/>
                <wp:wrapNone/>
                <wp:docPr id="160" name="Frame14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Dr. Kahook is qualified to serve on our board of directors because of his scientific expertise and his deep understanding of our business, operations and strategy.</w:t>
      </w:r>
    </w:p>
    <w:p>
      <w:pPr>
        <w:pStyle w:val="TextBody"/>
        <w:bidi w:val="0"/>
        <w:spacing w:lineRule="auto" w:line="288" w:before="0" w:after="240"/>
        <w:jc w:val="left"/>
        <w:rPr/>
      </w:pPr>
      <w:r>
        <w:rPr>
          <w:rFonts w:ascii="Trade Gothic;sans-serif" w:hAnsi="Trade Gothic;sans-serif"/>
          <w:b/>
          <w:i/>
          <w:color w:val="000000"/>
          <w:sz w:val="19"/>
        </w:rPr>
        <w:t>James Dennewill</w:t>
      </w:r>
      <w:r>
        <w:rPr>
          <w:color w:val="000000"/>
        </w:rPr>
        <w:t xml:space="preserve"> </w:t>
      </w:r>
      <w:r>
        <w:rPr>
          <w:rFonts w:ascii="Trade Gothic;sans-serif" w:hAnsi="Trade Gothic;sans-serif"/>
          <w:b w:val="false"/>
          <w:color w:val="000000"/>
          <w:sz w:val="19"/>
        </w:rPr>
        <w:t>has served as our chief operating officer since October 2021 and served as our general manager from November 2019 to October 2021. Prior to SpyGlass, Mr. Dennewill held several leadership roles at Cianna Medical, a women’s health company, including director of operations from November 2013 to December 2015, vice president of manufacturing from January 2016 to October 2016, and vice president of operations from October 2016 to October 2019, until the company’s acquisition by Merit Medical. Mr. Dennewill holds a B.S. in finance and operations from California State University, Long Beach and an M.B.A. from Yale School of Management.</w:t>
      </w:r>
    </w:p>
    <w:p>
      <w:pPr>
        <w:pStyle w:val="TextBody"/>
        <w:bidi w:val="0"/>
        <w:spacing w:lineRule="auto" w:line="288" w:before="0" w:after="240"/>
        <w:jc w:val="left"/>
        <w:rPr/>
      </w:pPr>
      <w:r>
        <w:rPr>
          <w:rFonts w:ascii="Trade Gothic;sans-serif" w:hAnsi="Trade Gothic;sans-serif"/>
          <w:b/>
          <w:i/>
          <w:color w:val="000000"/>
          <w:sz w:val="19"/>
        </w:rPr>
        <w:t>Chetan Pujara, Ph.D.</w:t>
      </w:r>
      <w:r>
        <w:rPr>
          <w:color w:val="000000"/>
        </w:rPr>
        <w:t xml:space="preserve"> </w:t>
      </w:r>
      <w:r>
        <w:rPr>
          <w:rFonts w:ascii="Trade Gothic;sans-serif" w:hAnsi="Trade Gothic;sans-serif"/>
          <w:b w:val="false"/>
          <w:color w:val="000000"/>
          <w:sz w:val="19"/>
        </w:rPr>
        <w:t>has served as our chief research and development officer since February 2025 and previously provided consulting services to the Company from February 2024 to February 2025. From July 2023 to February 2025, Dr. Pujara served as chief development officer at Osanni Bio, a biotechnology company. From May 2020 to July 2023, Dr. Pujara served in various roles at AbbVie, a biopharmaceutical company, including vice president, pharmaceutical sciences, research and development (R&amp;D). Prior to AbbVie, Dr. Pujara spent over 13 years in various R&amp;D roles at Allergan, a pharmaceutical company. Dr. Pujara also spent 10 years in various roles at Abbott, a medical device and healthcare company. Dr. Pujara holds a B.Pharm from Birla Institute of Technology and Science, Pilani and a Ph.D. in pharmaceutical sciences from Purdue University.</w:t>
      </w:r>
    </w:p>
    <w:p>
      <w:pPr>
        <w:pStyle w:val="TextBody"/>
        <w:bidi w:val="0"/>
        <w:spacing w:lineRule="auto" w:line="288" w:before="0" w:after="240"/>
        <w:jc w:val="left"/>
        <w:rPr/>
      </w:pPr>
      <w:r>
        <w:rPr>
          <w:rFonts w:ascii="Trade Gothic;sans-serif" w:hAnsi="Trade Gothic;sans-serif"/>
          <w:b/>
          <w:i/>
          <w:color w:val="000000"/>
          <w:sz w:val="19"/>
        </w:rPr>
        <w:t>Jean-Frédéric Viret, Ph.D.</w:t>
      </w:r>
      <w:r>
        <w:rPr>
          <w:color w:val="000000"/>
        </w:rPr>
        <w:t xml:space="preserve"> </w:t>
      </w:r>
      <w:r>
        <w:rPr>
          <w:rFonts w:ascii="Trade Gothic;sans-serif" w:hAnsi="Trade Gothic;sans-serif"/>
          <w:b w:val="false"/>
          <w:color w:val="000000"/>
          <w:sz w:val="19"/>
        </w:rPr>
        <w:t>has served as our chief financial officer since January 2026. From November 2023 to June 2025, Dr. Viret served as chief financial officer of NGM Biopharmaceuticals, Inc., a biopharmaceutical company. From February 2023 to September 2023, Dr. Viret served as chief financial officer of Shasqi, Inc., a biopharmaceutical company, and from March 2021 to November 2022, Dr. Viret served as chief financial officer of Blade Therapeutics, Inc., a biotechnology company. From September 2014 to March 2021, Dr. Viret served as chief financial officer of Coherus BioSciences, Inc. (now known as Coherus Oncology), a commercial-stage biopharmaceutical company. Earlier in his career, Dr. Viret was chief financial officer at diaDexus, Inc., XDx, Inc. (now CareDx, Inc.) and Anesiva, Inc., and worked in a variety of finance roles at Tularik Inc. and PricewaterhouseCoopers. Dr. Viret served as chief financial officer of diaDexus from February 2014 to September 2014. diaDexus filed a voluntary petition for relief under the provisions of Chapter 7 of Title 11 of the United States Code on June 13, 2016. Dr. Viret holds a B.S. in engineering from the Institut National Polytechnique de Lorraine, an M.B.A. from Cornell University, and a Ph.D. in plant molecular biology from Université Louis Pasteur (Strasbourg I). Dr. Viret was a visiting fellow at Harvard University and a postdoctoral fellow at the Massachusetts Institute of Technology.</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Key Employees</w:t>
      </w:r>
    </w:p>
    <w:p>
      <w:pPr>
        <w:pStyle w:val="TextBody"/>
        <w:bidi w:val="0"/>
        <w:spacing w:lineRule="auto" w:line="288" w:before="0" w:after="240"/>
        <w:jc w:val="left"/>
        <w:rPr/>
      </w:pPr>
      <w:r>
        <w:rPr>
          <w:rFonts w:ascii="Trade Gothic;sans-serif" w:hAnsi="Trade Gothic;sans-serif"/>
          <w:b/>
          <w:i/>
          <w:color w:val="000000"/>
          <w:sz w:val="19"/>
        </w:rPr>
        <w:t>Glenn Sussman</w:t>
      </w:r>
      <w:r>
        <w:rPr>
          <w:color w:val="000000"/>
        </w:rPr>
        <w:t xml:space="preserve"> </w:t>
      </w:r>
      <w:r>
        <w:rPr>
          <w:rFonts w:ascii="Trade Gothic;sans-serif" w:hAnsi="Trade Gothic;sans-serif"/>
          <w:b w:val="false"/>
          <w:color w:val="000000"/>
          <w:sz w:val="19"/>
        </w:rPr>
        <w:t>co-founded SpyGlass in January 2019 and served as our chief executive officer through July 2021. He transitioned to our chief technology officer in July 2021 and continued to serve in that role through December 2025. In January 2026, Mr. Sussman transitioned to serving as our chief technology advisor and continues to serve in that role. From June 2018 to May 2019, Mr. Sussman served as an entrepreneur in residence at the University of Colorado, Department of Ophthalmology. From March 2013 to May 2018, Mr. Sussman served as vice president, R&amp;D at ClarVista Medical, an ophthalmology company. Mr. Sussman previously spent 18 years in a R&amp;D leadership role at Alcon. Mr. Sussman holds a B.S. in mechanical engineering from California State University, Long Beach.</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Non-Employee Directors</w:t>
      </w:r>
    </w:p>
    <w:p>
      <w:pPr>
        <w:pStyle w:val="TextBody"/>
        <w:bidi w:val="0"/>
        <w:spacing w:lineRule="auto" w:line="288" w:before="0" w:after="240"/>
        <w:jc w:val="left"/>
        <w:rPr/>
      </w:pPr>
      <w:r>
        <w:rPr>
          <w:rFonts w:ascii="Trade Gothic;sans-serif" w:hAnsi="Trade Gothic;sans-serif"/>
          <w:b/>
          <w:i/>
          <w:color w:val="000000"/>
          <w:sz w:val="19"/>
        </w:rPr>
        <w:t xml:space="preserve">Ali Behbahani, M.D. </w:t>
      </w:r>
      <w:r>
        <w:rPr>
          <w:rFonts w:ascii="Trade Gothic;sans-serif" w:hAnsi="Trade Gothic;sans-serif"/>
          <w:b w:val="false"/>
          <w:color w:val="000000"/>
          <w:sz w:val="19"/>
        </w:rPr>
        <w:t>has served as a member of our board of directors since May 2019. Dr. Behbahani joined New Enterprise Associates (NEA), a venture capital firm, in 2007 and is currently a partner and the co-head of healthcare. Prior to joining NEA, he worked as an intern and later as a consultant in business development at The Medicines Company, a specialty pharmaceutical company developing acute care cardiovascular products. He previously held positions as a venture associate at Morgan Stanley Venture Partners from 2000 to 2002 and as a healthcare investment banking analyst at Lehman Brothers from 1998 to 2000. Dr. Behbahani currently serves on the board of directors of Adaptimmune Therapeutics Plc, Black Diamond Therapeutics, CRISPR Therapeutics AG, Monte Rosa Therapeutics, Inc., Nkarta, Inc., Korro Bio, Inc., and Arcellx, Inc. Dr. Behbahani previously served as a member of the board of directors of CVRx, Inc. from July 2013 to September 2024, Genocea Biosciences from February 2018 to May 2022, Minerva Surgical, Inc. from May 2011 to January 2024, and Oyster Point Pharma from July 2017 to January 2023. Dr. Behbahani received a B.S.E. in biomedical engineering, electrical engineering and chemistry from Duke University, an M.B.A. from the Wharton School of the University of Pennsylvania and an M.D. from the University of Pennsylvania School of Medicine.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Dr. Behbahani is qualified to serve on our board of directors because of his experience in life sciences, his experience as a member of the boards of directors of multiple companies in the life science industry, and his extensive experience serving on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0335"/>
                <wp:effectExtent l="0" t="0" r="0" b="0"/>
                <wp:wrapNone/>
                <wp:docPr id="161" name="Frame14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i/>
          <w:color w:val="000000"/>
          <w:sz w:val="19"/>
        </w:rPr>
        <w:t xml:space="preserve">Habib J. Dable </w:t>
      </w:r>
      <w:r>
        <w:rPr>
          <w:rFonts w:ascii="Trade Gothic;sans-serif" w:hAnsi="Trade Gothic;sans-serif"/>
          <w:b w:val="false"/>
          <w:color w:val="000000"/>
          <w:sz w:val="19"/>
        </w:rPr>
        <w:t>has served as a member of our board of directors since the pricing of our IPO. Mr. Dable has served as an advisor at RA Capital Management, L.P., an investment manager, since April 2022. Previously, Mr. Dable served as president and chief executive officer of Acceleron Pharma Inc., a biopharmaceutical company, from December 2016 until its acquisition by Merck in November 2021. Prior to joining Acceleron, Mr. Dable held roles of increasing responsibility at Bayer AG beginning in 1994, serving as the president of pharmaceuticals for Bayer in the U.S. from October 2015 until December 2016. From 2013 to 2015, Mr. Dable served as the executive vice president and global head of specialty medicine for Bayer HealthCare Pharmaceuticals, and from 2010 to 2012, he was the vice president of ophthalmology and global launch team head for EYLEA. Mr. Dable currently serves as a member of the board of directors of Relay Therapeutics, Day One Biopharmaceuticals, and PepGen, and he previously served as a member of the board of directors of Millendo Therapeutics, Inc. from September 2018 until January 2021, Blueprint Medicines Corporation from June 2022 to July 2025, Aerovate Therapeutics from July 2023 to April 2025, and Albireo Pharma from August 2022 to March 2023. Mr. Dable holds a bachelor’s degree in business administration and an M.B.A, each from the University of New Brunswick in Canada.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Mr. Dable is qualified to serve on our board of directors because of his experience in the life sciences industry and the venture capital industry and his leadership and management experience.</w:t>
      </w:r>
    </w:p>
    <w:p>
      <w:pPr>
        <w:pStyle w:val="TextBody"/>
        <w:bidi w:val="0"/>
        <w:spacing w:lineRule="auto" w:line="288" w:before="0" w:after="240"/>
        <w:jc w:val="left"/>
        <w:rPr/>
      </w:pPr>
      <w:r>
        <w:rPr>
          <w:rFonts w:ascii="Trade Gothic;sans-serif" w:hAnsi="Trade Gothic;sans-serif"/>
          <w:b/>
          <w:i/>
          <w:color w:val="000000"/>
          <w:sz w:val="19"/>
        </w:rPr>
        <w:t>Michael Dybbs, Ph.D.</w:t>
      </w:r>
      <w:r>
        <w:rPr>
          <w:color w:val="000000"/>
        </w:rPr>
        <w:t xml:space="preserve"> </w:t>
      </w:r>
      <w:r>
        <w:rPr>
          <w:rFonts w:ascii="Trade Gothic;sans-serif" w:hAnsi="Trade Gothic;sans-serif"/>
          <w:b w:val="false"/>
          <w:color w:val="000000"/>
          <w:sz w:val="19"/>
        </w:rPr>
        <w:t>has served as a member of our board of directors since November 2025. Dr. Dybbs is currently a partner at Samsara BioCapital, an asset management firm focused on the life sciences industry, where he has worked since March 2017. Previously, Dr. Dybbs was a partner at New Leaf Venture Partners, L.L.C., where he worked from May 2009 until September 2016. Before joining New Leaf Venture Partners, L.L.C., Dr. Dybbs was a principal at the Boston Consulting Group. Dr. Dybbs currently serves on the board of directors of Nkarta, Inc., Sutro Biopharma, Inc. and Kalaris Therapeutics, Inc. and serves on the boards of directors of several privately held companies. Dr. Dybbs previously served on the boards of directors of Dimension Therapeutics, Inc., a publicly traded company acquired by Ultragenyx Pharmaceutical Inc. in 2017, and Versartis, Inc. Dr. Dybbs received an A.B. in biochemical sciences from Harvard College and a Ph.D. in molecular biology from the University of California, Berkeley, where he was awarded a Howard Hughes Medical Institute fellowship.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Dr. Dybbs is qualified to serve on our board of directors because of his experience in the life sciences industry and the venture capital industry, and his leadership and management experience.</w:t>
      </w:r>
    </w:p>
    <w:p>
      <w:pPr>
        <w:pStyle w:val="TextBody"/>
        <w:bidi w:val="0"/>
        <w:spacing w:lineRule="auto" w:line="288" w:before="0" w:after="240"/>
        <w:jc w:val="left"/>
        <w:rPr/>
      </w:pPr>
      <w:r>
        <w:rPr>
          <w:rFonts w:ascii="Trade Gothic;sans-serif" w:hAnsi="Trade Gothic;sans-serif"/>
          <w:b/>
          <w:i/>
          <w:color w:val="000000"/>
          <w:sz w:val="19"/>
        </w:rPr>
        <w:t>Bilal Khan</w:t>
      </w:r>
      <w:r>
        <w:rPr>
          <w:color w:val="000000"/>
        </w:rPr>
        <w:t xml:space="preserve"> </w:t>
      </w:r>
      <w:r>
        <w:rPr>
          <w:rFonts w:ascii="Trade Gothic;sans-serif" w:hAnsi="Trade Gothic;sans-serif"/>
          <w:b w:val="false"/>
          <w:color w:val="000000"/>
          <w:sz w:val="19"/>
        </w:rPr>
        <w:t>has served as a member of our board of directors since September 2023. Since August 2008, Mr. Khan has served in various roles at New World Medical, an ophthalmic device manufacturing company, including vice president, chief operating officer, and president, and has served as chief executive officer of New World Medical since October 2019. Mr. Khan holds a B.B.A. in actuarial science from the University of Wisconsin and an M.B.A. from The Wharton School of Business. Mr. Khan was formerly a Fellow of the Society of Actuaries.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Mr. Khan is qualified to serve on our board of directors because of his extensive industry experience.</w:t>
      </w:r>
    </w:p>
    <w:p>
      <w:pPr>
        <w:pStyle w:val="TextBody"/>
        <w:bidi w:val="0"/>
        <w:spacing w:lineRule="auto" w:line="288" w:before="0" w:after="240"/>
        <w:jc w:val="left"/>
        <w:rPr/>
      </w:pPr>
      <w:r>
        <w:rPr>
          <w:rFonts w:ascii="Trade Gothic;sans-serif" w:hAnsi="Trade Gothic;sans-serif"/>
          <w:b/>
          <w:i/>
          <w:color w:val="000000"/>
          <w:sz w:val="19"/>
        </w:rPr>
        <w:t>Kirk Nielsen</w:t>
      </w:r>
      <w:r>
        <w:rPr>
          <w:color w:val="000000"/>
        </w:rPr>
        <w:t xml:space="preserve"> </w:t>
      </w:r>
      <w:r>
        <w:rPr>
          <w:rFonts w:ascii="Trade Gothic;sans-serif" w:hAnsi="Trade Gothic;sans-serif"/>
          <w:b w:val="false"/>
          <w:color w:val="000000"/>
          <w:sz w:val="19"/>
        </w:rPr>
        <w:t>has served as a member of our board of directors since July 2025 and previously served as a member of our board of directors from December 2020 to July 2023. Mr. Nielsen has served as a managing partner at Vensana Capital, a medtech-focused investment firm, since January 2019 and as a managing director at Versant Ventures, a healthcare-focused venture capital firm, since January 2011. Mr. Nielsen currently serves on the board of directors of CVRx and several boards of directors for private companies, including Elucent Medical, iVEAcare, Moxe Health, Okami Medical, Rampart, and Vensana Innovation, and he previously served on the boards of directors for numerous other companies, including Alleviant Medical, Artelon, and Inari Medical. Mr. Nielsen holds an A.B. from Harvard College and an M.B.A. from Harvard Business School.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Mr. Nielsen is qualified to serve on our board of directors because of his experience in the life sciences industry and his investing experience.</w:t>
      </w:r>
    </w:p>
    <w:p>
      <w:pPr>
        <w:pStyle w:val="TextBody"/>
        <w:bidi w:val="0"/>
        <w:spacing w:lineRule="auto" w:line="288" w:before="0" w:after="240"/>
        <w:jc w:val="left"/>
        <w:rPr/>
      </w:pPr>
      <w:r>
        <w:rPr>
          <w:rFonts w:ascii="Trade Gothic;sans-serif" w:hAnsi="Trade Gothic;sans-serif"/>
          <w:b/>
          <w:i/>
          <w:color w:val="000000"/>
          <w:sz w:val="19"/>
        </w:rPr>
        <w:t xml:space="preserve">Elizabeth O’Farrell </w:t>
      </w:r>
      <w:r>
        <w:rPr>
          <w:rFonts w:ascii="Trade Gothic;sans-serif" w:hAnsi="Trade Gothic;sans-serif"/>
          <w:b w:val="false"/>
          <w:color w:val="000000"/>
          <w:sz w:val="19"/>
        </w:rPr>
        <w:t>has served as a member of our board of directors since August 2025. From April 1993 to December 2017, Ms. O’Farrell held various executive management positions at Eli Lilly and Company, a pharmaceutical company, including chief procurement officer, senior vice president, policy and finance, and chief financial officer, Lilly USA. Ms. O’Farrell also previously held roles at PricewaterhouseCoopers LLP and Whipple &amp; Company Corporation. Ms. O’Farrell serves on the board of directors of Genmab A/S, PDL BioPharma, Geron Corporation, LENSAR, and previously served on the board of directors of Inhibikase Therapeutics from April 2019 to September 2022. Ms. O’Farrell holds a B.S.B. in accounting and an M.B.A. in management information systems each from Indiana University, Bloomington.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0335"/>
                <wp:effectExtent l="0" t="0" r="0" b="0"/>
                <wp:wrapNone/>
                <wp:docPr id="162" name="Frame14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Ms. O’Farrell is qualified to serve on our board of directors because of her extensive experience in the biotechnology industry and her leadership experience as a senior financial executive.</w:t>
      </w:r>
    </w:p>
    <w:p>
      <w:pPr>
        <w:pStyle w:val="TextBody"/>
        <w:bidi w:val="0"/>
        <w:spacing w:lineRule="auto" w:line="288" w:before="0" w:after="240"/>
        <w:jc w:val="left"/>
        <w:rPr/>
      </w:pPr>
      <w:r>
        <w:rPr>
          <w:rFonts w:ascii="Trade Gothic;sans-serif" w:hAnsi="Trade Gothic;sans-serif"/>
          <w:b/>
          <w:i/>
          <w:color w:val="000000"/>
          <w:sz w:val="19"/>
        </w:rPr>
        <w:t>Geoff Pardo</w:t>
      </w:r>
      <w:r>
        <w:rPr>
          <w:color w:val="000000"/>
        </w:rPr>
        <w:t xml:space="preserve"> </w:t>
      </w:r>
      <w:r>
        <w:rPr>
          <w:rFonts w:ascii="Trade Gothic;sans-serif" w:hAnsi="Trade Gothic;sans-serif"/>
          <w:b w:val="false"/>
          <w:color w:val="000000"/>
          <w:sz w:val="19"/>
        </w:rPr>
        <w:t>has served as a member of our board of directors since May 2025. Since June 2011, Mr. Pardo has served as the president and general partner of Gilde Healthcare US Inc., a healthcare investor. Mr. Pardo currently serves on the board of directors of Mainstay Medical Holding plc, Nalu Medical, Alleviant Medical, Shoulder Innovations, and Ablative Solutions. Previously, Mr. Pardo served on the board of directors of Inari Medical Inc. from March 2018 to May 2021, Axonics Inc. from July 2017 to April 2019, Eargo Inc. from July 2020 to July 2021, and CVRx Inc. from August 2016 to June 2022. Mr. Pardo received a B.A. in history from Brown University and an M.B.A from The Wharton School of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Mr. Pardo is qualified to serve on our board of directors because of his healthcare industry knowledge and his experience serving on the board of directors of other companies.</w:t>
      </w:r>
    </w:p>
    <w:p>
      <w:pPr>
        <w:pStyle w:val="TextBody"/>
        <w:bidi w:val="0"/>
        <w:spacing w:lineRule="auto" w:line="288" w:before="0" w:after="240"/>
        <w:jc w:val="left"/>
        <w:rPr/>
      </w:pPr>
      <w:r>
        <w:rPr>
          <w:rFonts w:ascii="Trade Gothic;sans-serif" w:hAnsi="Trade Gothic;sans-serif"/>
          <w:b/>
          <w:i/>
          <w:color w:val="000000"/>
          <w:sz w:val="19"/>
        </w:rPr>
        <w:t>Zach Scheiner, Ph.D.</w:t>
      </w:r>
      <w:r>
        <w:rPr>
          <w:color w:val="000000"/>
        </w:rPr>
        <w:t xml:space="preserve"> </w:t>
      </w:r>
      <w:r>
        <w:rPr>
          <w:rFonts w:ascii="Trade Gothic;sans-serif" w:hAnsi="Trade Gothic;sans-serif"/>
          <w:b w:val="false"/>
          <w:color w:val="000000"/>
          <w:sz w:val="19"/>
        </w:rPr>
        <w:t>has served as a member of our board of directors since July 2023. Dr. Scheiner joined RA Capital Management, L.P., an investment manager, in April 2015 as an associate, became an analyst in April 2017, a principal in December 2017, and has been a partner since December 2025. Prior to joining RA Capital, Dr. Scheiner was a science officer at the California Institute for Regenerative Medicine (CIRM), where he worked from September 2008 to March 2015. Dr. Scheiner currently serves on the board of directors of Nkarta Therapeutics, Inc., LENZ Therapeutics, Inc. and several private biotechnology companies. Dr. Scheiner holds a B.S. in molecular biophysics and biochemistry from Yale University and a Ph.D. in neurobiology and behavior from the University of Washington.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Dr. Scheiner is qualified to serve on our board of directors because of his experience in the life sciences industry and his investing experience.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Family Relationships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are no family relationships among any of our executive officers or directors.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Code of Business Conduct and Ethics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board of directors has adopted a code of business conduct and ethics that applies to all of our directors, officers and employees, including our principal executive officer, principal financial officer, principal accounting officer or controller or persons performing similar functions, as well as our contractors, consultants and agents. The full text of our code of business conduct and ethics is posted on the investor relations page on our website at www.spyglasspharma.com. We intend to disclose any amendments to our code of business conduct and ethics, or waivers of its requirements, applicable to our principal executive officer, principal financial officer, principal accounting officer or controller, or persons performing similar functions, on our website identified above, or in filings under the Exchange Act.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Board of Directors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business and affairs are managed under the direction of our board of directors. Our board of directors currently consists of ten directors. The number of directors is fixed by our board of directors, subject to the terms of our amended and restated certificate of incorporation and amended and restated bylaws. Each of our current directors will serve as a director until the election and qualification of his or her successor, or until his or her earlier death, resignation or removal.</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Classified Board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accordance with our amended and restated certificate of incorporation, our board of directors is divided into three classes with staggered three-year terms. Only one class of directors will be elected at each annual meeting of our stockholders, with the other classes continuing for the remainder of their respective three-year terms. Our directors are divided among the three classes as follows: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Class I directors are Kirk Nielsen, Geoff Pardo, Patrick Mooney, and Habib J. Dable, and their terms will expire at the annual meeting of stockholders to be held in 2027;</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Class II directors are Zach Scheiner, Ph.D., Malik Y. Kahook, M.D., and Elizabeth O’Farrell, and their terms will expire at the annual meeting of stockholders to be held in 2028;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Class III directors are Ali Behbahani, M.D., Michael Dybbs, Ph.D., and Bilal Khan, and their terms will expire at the annual meeting of stockholders to be held in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0335"/>
                <wp:effectExtent l="0" t="0" r="0" b="0"/>
                <wp:wrapNone/>
                <wp:docPr id="163" name="Frame14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and our amended and restated bylaws. Any increase or decrease in the number of directors will be distributed among the three classes so that, as nearly as possible, each class will consist of one-third of the directors.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classification of our board of directors with staggered three-year terms may have the effect of delaying or preventing changes in control of our company. </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Director Independence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common stock is listed on the Nasdaq Global Select Market. Under the rules of Nasdaq, independent directors must comprise a majority of a listed company’s board of directors within a year of the company’s IPO. In addition, the rules of Nasdaq require that, subject to specified exceptions, each member of a listed company’s audit, compensation and nominating and corporate governance committees be independent. Audit committee members and compensation committee members must also satisfy the independence criteria set forth in Rule 10A-3 and Rule 10C-1, respectively, under the Exchange Act. Under the rules of Nasdaq, a director will qualify as an “independent director” only if, in the opinion of that company’s board of directors, that person does not have a relationship that would interfere with the exercise of independent judgment in carrying out the responsibilities of a director.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be considered independent for purposes of Rule 10C-1 and under the rules of Nasdaq, the board of directors of a listed company must affirmatively determine that each member of the compensation committee is independent, including a consideration of all factors specifically relevant to determining whether the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board of directors has undertaken a review of the independence of each director. Based on information provided by each director concerning his or her background, employment and affiliations, our board of directors has determined that Ali Behbahani, M.D., Habib J. Dable, Michael Dybbs, Ph.D., Bilal Khan, Kirk Nielsen, Elizabeth O’Farrell, Geoff Pardo, and Zach Scheiner, Ph.D. representing eight of our ten directors, do not have a relationship that would interfere with the exercise of independent judgment in carrying out the responsibilities of a director and that each of these directors is an “independent director” as defined under the listing standards of Nasdaq. Patrick Mooney is not considered an independent director because of his position as our chief executive officer. Malik Y. Kahook, M.D. is not considered an independent director because of his position as our president and chief medical officer.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Item 13 “Certain Relationships and Related Transactions, and Director Independence” of this Annual Report.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Board Leadership Structure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Dr. Kahook serves as both our president and chief medical officer and our executive chair of our board of directors. In addition, our board of directors does not have a lead independent director at this time, but will continue to monitor and evaluate the appropriateness of our board leadership structure. Our board of directors believes that Dr. Kahook’s service as President, Chief Medical Officer and Executive Chair is in the best interest of our company and stockholders. Dr. Kahook possesses detailed and in-depth knowledge of the issues, opportunities and challenges facing our business and is thus best positioned to develop agendas that ensure that the time and attention of our board of directors are focused on the most critical matters. Specifically, his combined role enables decisive leadership, ensures clear accountability, and enhances our ability to communicate our message and strategy clearly and consistently to our stockholders, employees, customers and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0335"/>
                <wp:effectExtent l="0" t="0" r="0" b="0"/>
                <wp:wrapNone/>
                <wp:docPr id="164" name="Frame14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119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Role of the Board in Risk Oversight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established by the board of directors is responsible for overseeing the management of risks relating to our executive compensation plans and arrangements. The audit committee established by the board of directors is responsible for overseeing the management of risks relating to accounting matters and financial reporting, as well as compliance with legal and regulatory requirements and risks and exposures associated with cybersecurity, information security and privacy matters. The nominating and corporate governance committee established by the board of directors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and will continue to be regularly informed through discussions from committee members about such risks. Our board of directors believes its administration of its risk oversight function has not negatively affected the board of directors’ leadership structure.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Board Committees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board of directors has established an audit committee, a compensation committee and a nominating and corporate governance committee, each of which has the composition and responsibilities described below. Members serve on these committees until the earlier of their resignation or removal by our board of directors in its discretion.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Audit Committee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members of our audit committee are Elizabeth O’Farrell, Kirk Nielsen, and Michael Dybbs, Ph.D., with Ms. O’Farrell serving as chairperson, each of whom meets the requirements for independence under the rules and regulations of the SEC and the listing standards of Nasdaq applicable to audit committee members. Each member of our audit committee also meets the financial literacy requirements of the listing standards of Nasdaq. In addition, our board of directors has determined that Ms. O’Farrell is an audit committee financial expert within the meaning of Item 407(d) of Regulation S-K under the Securities Act. Our audit committee, among other things: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selects, retains, compensates, evaluates, oversees and, where appropriate, terminates our independent registered public accounting firm;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and approves the scope and plans for the audits and the audit fees and approves all non-audit and tax services to be performed by the independent auditor;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evaluates the independence and qualifications of our independent registered public accounting firm;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our financial statements, and discusses with management and our independent registered public accounting firm the results of the annual audit and the quarterly reviews;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and discusses with management and our independent registered public accounting firm the quality and adequacy of our internal controls and our disclosure controls and procedures;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discusses with management our procedures regarding the presentation of our financial information, and reviews earnings press releases and guidance;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oversees the design, implementation and performance of our internal audit function, if 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sets hiring policies with regard to the hiring of employees and former employees of our independent auditor and oversees compliance with such policies;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approves and monitors related party transactions;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adopts and oversees procedures to address complaints regarding accounting, internal accounting controls and auditing matters, including confidential, anonymous submissions by our employees of concerns regarding questionable accounting or auditing matters;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and discusses with management and our independent auditor the adequacy and effectiveness of our legal, regulatory and ethical compliance programs;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and discusses with management and our independent auditor our guidelines and policies to identify, monitor and address enterprise risks, including major financial risks and exposures and risks and exposures associated with cybersecurity, information security and privacy matters.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audit committee operates under a written charter that satisfies the applicable rules and regulations of the SEC and the listing standards of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0335"/>
                <wp:effectExtent l="0" t="0" r="0" b="0"/>
                <wp:wrapNone/>
                <wp:docPr id="165" name="Frame15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Compensation Committee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members of our compensation committee are Bilal Khan, Ali Behbahani, M.D., and Habib J. Dable, with Mr. Khan serving as chairperson, each of whom meets the requirements for independence under the rules and regulations of the SEC and the listing standards of Nasdaq applicable to compensation committee members. Each member of our compensation committee is also a non-employee director, as defined pursuant to Rule 16b-3 promulgated under the Exchange Act. Our compensation committee, among other things: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approves or makes recommendations to our board of directors regarding the compensation for our executive officers, including our chief executive officer;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approves and administers our employee benefit and equity incentive plans;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establishes and reviews the compensation plans and programs of our employees, and ensures that they are consistent with our general compensation strategy;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determines or makes recommendations to our board of directors regarding non-employee director compensation;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oversees and monitors compliance with any stock ownership guidelines we may adopt;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approves or makes recommendations to our board of directors regarding the creation or revision of any clawback policy.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compensation committee operates under a written charter that satisfies the applicable rules and regulations of the SEC and the listing standards of Nasdaq.</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Nominating and Corporate Governance Committee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members of our nominating and corporate governance committee are Zach Scheiner, Ph.D., Bilal Khan and Geoff Pardo, with Dr. Scheiner serving as chairperson, each of whom meets the requirements for independence under the listing standards of Nasdaq. Our nominating and corporate governance committee, among other things: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and assesses and makes recommendations to our board of directors regarding desired qualifications, expertise and characteristics sought of board members;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identifies, evaluates, selects or makes recommendations to our board of directors regarding nominees for election to our board of directors;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develops policies and procedures for considering stockholder nominees for election to our board of directors;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our succession planning process for our chief executive officer and any other members of our executive management team;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and makes recommendations to our board of directors regarding the composition, organization and governance of our board of directors and its committees;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and makes recommendations to our board of directors regarding our corporate governance guidelines and corporate governance framework;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oversees director orientation for new directors and continuing education for our directors;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oversees the evaluation of the performance of our board of directors and its committees;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reviews and monitors compliance with our code of business conduct and ethics, and reviews conflicts of interest of our board members and officers other than related party transactions reviewed by our audit committee;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administers policies and procedures for communications with the non-management members of our board of directors.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nominating and corporate governance committee operates under a written charter that satisfies the applicable listing standards of Nasdaq.</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Compensation Committee Interlocks and Insider Participation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members of our compensation committee are Bilal Khan, Ali Behbahani, M.D., and Habib J. Dable, none of whom is or has been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0335"/>
                <wp:effectExtent l="0" t="0" r="0" b="0"/>
                <wp:wrapNone/>
                <wp:docPr id="166" name="Frame15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Insider Trading Policy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adopted an insider trading policy governing the purchase, sale, and/or other dispositions of our securities and those of public companies in which we have a business relationship by our directors, executive officers, employees and independent contractors, contingent workers and consultants, that we believe is reasonably designed to promote compliance with insider trading laws, rules and regulations, and the exchange listing standards applicable to us. It is our policy that any transactions in SpyGlass Pharma securities by the company itself shall be in full compliance with insider trading laws, rules and regulations. A copy of our insider trading policy, including any amendments thereto, is filed as Exhibit 19.1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11. </w:t>
      </w:r>
      <w:hyperlink w:anchor="ifaf54775e85441fc836f60bc7c4f1464_151">
        <w:r>
          <w:rPr>
            <w:rStyle w:val="InternetLink"/>
            <w:rFonts w:ascii="Trade Gothic;sans-serif" w:hAnsi="Trade Gothic;sans-serif"/>
            <w:b/>
            <w:strike w:val="false"/>
            <w:dstrike w:val="false"/>
            <w:color w:val="000000"/>
            <w:sz w:val="20"/>
            <w:u w:val="none"/>
            <w:effect w:val="none"/>
          </w:rPr>
          <w:t>Executive Compensation</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named executive officers, consisting of our principal executive officer and the next two most highly compensated executive officers (other than our principal executive officer), as of December 31, 2025, were: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Patrick Mooney, our chief executive officer;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Malik Y. Kahook, M.D., our president, chief medical officer and executive chair;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Chetan Pujara, Ph.D., our chief research &amp; development officer.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October 2025, we entered into an offer letter agreement with Jean-Frederic Viret, Ph.D. to commence employment with us as our chief financial officer on or around January 1, 2026. While Dr. Viret was not an executive officer in 2025 and is not a named executive officer for 2025, we have provided a summary of Dr. Viret’s initial compensation terms as our chief financial officer in an effort to provide information that may be useful to our stockholders.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Summary Compensation Table for Fiscal 2024 and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sets forth information regarding the compensation awarded to, earned by or paid to our named executive officers for the fiscal years ended December 31, 2024, and December 31, 2025, as applicable:</w:t>
      </w:r>
    </w:p>
    <w:tbl>
      <w:tblPr>
        <w:tblW w:w="12816" w:type="dxa"/>
        <w:jc w:val="left"/>
        <w:tblInd w:w="0" w:type="dxa"/>
        <w:tblLayout w:type="fixed"/>
        <w:tblCellMar>
          <w:top w:w="28" w:type="dxa"/>
          <w:left w:w="28" w:type="dxa"/>
          <w:bottom w:w="28" w:type="dxa"/>
          <w:right w:w="28" w:type="dxa"/>
        </w:tblCellMar>
      </w:tblPr>
      <w:tblGrid>
        <w:gridCol w:w="794"/>
        <w:gridCol w:w="315"/>
        <w:gridCol w:w="317"/>
        <w:gridCol w:w="109"/>
        <w:gridCol w:w="109"/>
        <w:gridCol w:w="109"/>
        <w:gridCol w:w="174"/>
        <w:gridCol w:w="174"/>
        <w:gridCol w:w="178"/>
        <w:gridCol w:w="109"/>
        <w:gridCol w:w="109"/>
        <w:gridCol w:w="109"/>
        <w:gridCol w:w="413"/>
        <w:gridCol w:w="413"/>
        <w:gridCol w:w="226"/>
        <w:gridCol w:w="109"/>
        <w:gridCol w:w="109"/>
        <w:gridCol w:w="109"/>
        <w:gridCol w:w="230"/>
        <w:gridCol w:w="230"/>
        <w:gridCol w:w="231"/>
        <w:gridCol w:w="109"/>
        <w:gridCol w:w="109"/>
        <w:gridCol w:w="109"/>
        <w:gridCol w:w="265"/>
        <w:gridCol w:w="265"/>
        <w:gridCol w:w="266"/>
        <w:gridCol w:w="109"/>
        <w:gridCol w:w="109"/>
        <w:gridCol w:w="109"/>
        <w:gridCol w:w="494"/>
        <w:gridCol w:w="482"/>
        <w:gridCol w:w="266"/>
        <w:gridCol w:w="109"/>
        <w:gridCol w:w="109"/>
        <w:gridCol w:w="109"/>
        <w:gridCol w:w="480"/>
        <w:gridCol w:w="480"/>
        <w:gridCol w:w="481"/>
        <w:gridCol w:w="109"/>
        <w:gridCol w:w="109"/>
        <w:gridCol w:w="109"/>
        <w:gridCol w:w="413"/>
        <w:gridCol w:w="413"/>
        <w:gridCol w:w="240"/>
        <w:gridCol w:w="240"/>
        <w:gridCol w:w="240"/>
        <w:gridCol w:w="241"/>
        <w:gridCol w:w="109"/>
        <w:gridCol w:w="109"/>
        <w:gridCol w:w="109"/>
        <w:gridCol w:w="488"/>
        <w:gridCol w:w="488"/>
        <w:gridCol w:w="263"/>
      </w:tblGrid>
      <w:tr>
        <w:trPr/>
        <w:tc>
          <w:tcPr>
            <w:tcW w:w="7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color w:val="000000"/>
                <w:sz w:val="16"/>
              </w:rPr>
              <w:t xml:space="preserve">Name and Principal Position </w:t>
            </w:r>
            <w:r>
              <w:rPr>
                <w:rFonts w:ascii="Trade Gothic;sans-serif" w:hAnsi="Trade Gothic;sans-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Salary</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Bonus</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Stock Awards</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Option Awards</w:t>
            </w:r>
          </w:p>
          <w:p>
            <w:pPr>
              <w:pStyle w:val="TableContents"/>
              <w:bidi w:val="0"/>
              <w:spacing w:lineRule="auto" w:line="240" w:before="0" w:after="0"/>
              <w:jc w:val="center"/>
              <w:rPr/>
            </w:pPr>
            <w:r>
              <w:rPr>
                <w:rFonts w:ascii="Trade Gothic;sans-serif" w:hAnsi="Trade Gothic;sans-serif"/>
                <w:b/>
                <w:color w:val="000000"/>
                <w:sz w:val="16"/>
              </w:rPr>
              <w:t>($)</w:t>
            </w:r>
            <w:r>
              <w:rPr>
                <w:rFonts w:ascii="Trade Gothic;sans-serif" w:hAnsi="Trade Gothic;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Non-Equity Incentive Plan Compensation</w:t>
            </w:r>
          </w:p>
          <w:p>
            <w:pPr>
              <w:pStyle w:val="TableContents"/>
              <w:bidi w:val="0"/>
              <w:spacing w:lineRule="auto" w:line="240" w:before="0" w:after="0"/>
              <w:jc w:val="center"/>
              <w:rPr/>
            </w:pPr>
            <w:r>
              <w:rPr>
                <w:rFonts w:ascii="Trade Gothic;sans-serif" w:hAnsi="Trade Gothic;sans-serif"/>
                <w:b/>
                <w:color w:val="000000"/>
                <w:sz w:val="16"/>
              </w:rPr>
              <w:t>($)</w:t>
            </w:r>
            <w:r>
              <w:rPr>
                <w:rFonts w:ascii="Trade Gothic;sans-serif" w:hAnsi="Trade Gothic;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All Other Compensation</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br/>
              <w:t>($)</w:t>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Patrick Mooney</w:t>
            </w:r>
          </w:p>
          <w:p>
            <w:pPr>
              <w:pStyle w:val="TableContents"/>
              <w:bidi w:val="0"/>
              <w:spacing w:lineRule="auto" w:line="240" w:before="0" w:after="0"/>
              <w:jc w:val="left"/>
              <w:rPr>
                <w:rFonts w:ascii="Trade Gothic;sans-serif" w:hAnsi="Trade Gothic;sans-serif"/>
                <w:b w:val="false"/>
                <w:i/>
                <w:color w:val="000000"/>
                <w:sz w:val="16"/>
              </w:rPr>
            </w:pPr>
            <w:r>
              <w:rPr>
                <w:rFonts w:ascii="Trade Gothic;sans-serif" w:hAnsi="Trade Gothic;sans-serif"/>
                <w:b w:val="false"/>
                <w:i/>
                <w:color w:val="000000"/>
                <w:sz w:val="16"/>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444,544 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2,662,934 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215,088 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3,322,711 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417,488 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463,779 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153,635 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1,035,047 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Malik Y. Kahook, M.D.</w:t>
            </w:r>
          </w:p>
          <w:p>
            <w:pPr>
              <w:pStyle w:val="TableContents"/>
              <w:bidi w:val="0"/>
              <w:spacing w:lineRule="auto" w:line="240" w:before="0" w:after="0"/>
              <w:jc w:val="left"/>
              <w:rPr>
                <w:rFonts w:ascii="Trade Gothic;sans-serif" w:hAnsi="Trade Gothic;sans-serif"/>
                <w:b w:val="false"/>
                <w:i/>
                <w:color w:val="000000"/>
                <w:sz w:val="16"/>
              </w:rPr>
            </w:pPr>
            <w:r>
              <w:rPr>
                <w:rFonts w:ascii="Trade Gothic;sans-serif" w:hAnsi="Trade Gothic;sans-serif"/>
                <w:b w:val="false"/>
                <w:i/>
                <w:color w:val="000000"/>
                <w:sz w:val="16"/>
              </w:rPr>
              <w:t>President, Chief Medical Officer and Executive Chair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2,060,244 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125,975 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298,250 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2,484,469 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91,287 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288,167 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379,454 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Chetan Pujara, Ph.D.</w:t>
            </w:r>
          </w:p>
          <w:p>
            <w:pPr>
              <w:pStyle w:val="TableContents"/>
              <w:bidi w:val="0"/>
              <w:spacing w:lineRule="auto" w:line="240" w:before="0" w:after="0"/>
              <w:jc w:val="left"/>
              <w:rPr/>
            </w:pPr>
            <w:r>
              <w:rPr>
                <w:rFonts w:ascii="Trade Gothic;sans-serif" w:hAnsi="Trade Gothic;sans-serif"/>
                <w:b w:val="false"/>
                <w:i/>
                <w:color w:val="000000"/>
                <w:sz w:val="16"/>
              </w:rPr>
              <w:t>Chief Research &amp; Development Officer</w:t>
            </w:r>
            <w:r>
              <w:rPr>
                <w:rFonts w:ascii="Trade Gothic;sans-serif" w:hAnsi="Trade Gothic;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355,250 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1,049,292 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126,289 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9,521 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6"/>
              </w:rPr>
            </w:pPr>
            <w:r>
              <w:rPr>
                <w:rFonts w:ascii="Trade Gothic;sans-serif" w:hAnsi="Trade Gothic;sans-serif"/>
                <w:b w:val="false"/>
                <w:color w:val="000000"/>
                <w:sz w:val="16"/>
              </w:rPr>
              <w:t>1,539,952 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The amount in the “Option Awards” column reflects the aggregate grant-date fair value of the options granted during the applicable fiscal year and calculated in accordance with FASB, ASC Topic 718, rather than the amounts paid or realized by the named executive officer. The assumptions used to calculate the value of our option awards are the same as those provided in Note 6 to our audited financial statements included elsewhere in this Annual Report with respect to the value of the options.</w:t>
      </w:r>
    </w:p>
    <w:p>
      <w:pPr>
        <w:pStyle w:val="TextBody"/>
        <w:bidi w:val="0"/>
        <w:spacing w:lineRule="auto" w:line="288" w:before="0" w:after="0"/>
        <w:ind w:left="0" w:right="0" w:hanging="360"/>
        <w:jc w:val="left"/>
        <w:rPr/>
      </w:pPr>
      <w:r>
        <w:rPr>
          <w:rFonts w:ascii="Trade Gothic;sans-serif" w:hAnsi="Trade Gothic;sans-serif"/>
          <w:b w:val="false"/>
          <w:color w:val="000000"/>
          <w:sz w:val="11"/>
        </w:rPr>
        <w:t>(2)</w:t>
      </w:r>
      <w:r>
        <w:rPr>
          <w:rFonts w:ascii="Trade Gothic;sans-serif" w:hAnsi="Trade Gothic;sans-serif"/>
          <w:b w:val="false"/>
          <w:color w:val="000000"/>
          <w:sz w:val="17"/>
        </w:rPr>
        <w:t xml:space="preserve">The amounts reported represent the performance bonus payments earned for the applicable fiscal year. </w:t>
      </w:r>
    </w:p>
    <w:p>
      <w:pPr>
        <w:pStyle w:val="TextBody"/>
        <w:bidi w:val="0"/>
        <w:spacing w:lineRule="auto" w:line="288" w:before="0" w:after="0"/>
        <w:ind w:left="0" w:right="0" w:hanging="360"/>
        <w:jc w:val="left"/>
        <w:rPr/>
      </w:pPr>
      <w:r>
        <w:rPr>
          <w:rFonts w:ascii="Trade Gothic;sans-serif" w:hAnsi="Trade Gothic;sans-serif"/>
          <w:b w:val="false"/>
          <w:color w:val="000000"/>
          <w:sz w:val="11"/>
        </w:rPr>
        <w:t>(3)</w:t>
      </w:r>
      <w:r>
        <w:rPr>
          <w:rFonts w:ascii="Trade Gothic;sans-serif" w:hAnsi="Trade Gothic;sans-serif"/>
          <w:b w:val="false"/>
          <w:color w:val="000000"/>
          <w:sz w:val="17"/>
        </w:rPr>
        <w:t>The amount reported represents Company-paid life insurance premiums for Mr. Mooney and Dr. Pujara, as well as fees that the Company paid to Oasis Consulting, a company solely owned by Dr. Pujara, from January 1, 2025, until February 25, 2025, for Dr. Pujara’s services to the Company pursuant to the Pujara Consulting Agreement (as defined below) as further described in the “Agreements with our Named Executive Officers” section below.</w:t>
      </w:r>
    </w:p>
    <w:p>
      <w:pPr>
        <w:pStyle w:val="TextBody"/>
        <w:bidi w:val="0"/>
        <w:spacing w:lineRule="auto" w:line="288" w:before="0" w:after="0"/>
        <w:ind w:left="0" w:right="0" w:hanging="360"/>
        <w:jc w:val="left"/>
        <w:rPr/>
      </w:pPr>
      <w:r>
        <w:rPr>
          <w:rFonts w:ascii="Trade Gothic;sans-serif" w:hAnsi="Trade Gothic;sans-serif"/>
          <w:b w:val="false"/>
          <w:color w:val="000000"/>
          <w:sz w:val="11"/>
        </w:rPr>
        <w:t>(4)</w:t>
      </w:r>
      <w:r>
        <w:rPr>
          <w:rFonts w:ascii="Trade Gothic;sans-serif" w:hAnsi="Trade Gothic;sans-serif"/>
          <w:b w:val="false"/>
          <w:color w:val="000000"/>
          <w:sz w:val="17"/>
        </w:rPr>
        <w:t xml:space="preserve">The amount reported represents fees that the Company pays to University Physicians, Inc., d/b/a University of Colorado Medicine (CU Medicine), a non-profit corporation serving as the fiscal and business agent for the University of Colorado Anschutz School of Medicine, for Dr. Kahook’s services to the Company pursuant to the Professional Services Agreement between the Company and CU Medicine as further described in the “Agreements with our Named Executive Officers” section below. </w:t>
      </w:r>
    </w:p>
    <w:p>
      <w:pPr>
        <w:pStyle w:val="TextBody"/>
        <w:bidi w:val="0"/>
        <w:spacing w:lineRule="auto" w:line="288" w:before="0" w:after="0"/>
        <w:ind w:left="0" w:right="0" w:hanging="360"/>
        <w:jc w:val="left"/>
        <w:rPr/>
      </w:pPr>
      <w:r>
        <w:rPr>
          <w:rFonts w:ascii="Trade Gothic;sans-serif" w:hAnsi="Trade Gothic;sans-serif"/>
          <w:b w:val="false"/>
          <w:color w:val="000000"/>
          <w:sz w:val="11"/>
        </w:rPr>
        <w:t>(5)</w:t>
      </w:r>
      <w:r>
        <w:rPr>
          <w:rFonts w:ascii="Trade Gothic;sans-serif" w:hAnsi="Trade Gothic;sans-serif"/>
          <w:b w:val="false"/>
          <w:color w:val="000000"/>
          <w:sz w:val="17"/>
        </w:rPr>
        <w:t>Dr. Pujara commenced employment with the Company in February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0335"/>
                <wp:effectExtent l="0" t="0" r="0" b="0"/>
                <wp:wrapNone/>
                <wp:docPr id="167" name="Frame15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Fixed Cash Compensation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2025 annual base salary rate for Mr. Mooney was $426,765 from January 1, 2025 until February 26, 2025, and was increased to $448,100 after such date for the remainder of 2025. The 2025 annual base salary rate for Dr. Pujara was $420,000, commencing on his employment start date of February 26, 2025. From January 1, 2025 until February 25, 2025, we paid fixed cash fees to Dr. Pujara for Dr. Pujara’s consulting services to us, at an hourly rate of $300 for no more than 6 hours per week, pursuant to the Pujara Consulting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the Kahook Agreement (as defined below), in 2025 we paid fixed cash fees to CU Medicine for Dr. Kahook’s services to us, at a monthly rate of $24,150 until February 26, 2025, after which point the monthly rate increased to $24,995 for the remainder of 2025. Although the amount of fixed cash compensation actually received by Dr. Kahook for his services to us may be less, because we pay such amounts to CU Medicine in respect of Dr. Kahook’s services, we are reporting the full amount of such fees paid to CU Medicine in 2025 in the “All Other Compensation” column of the Summary Compensation Table above.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Variable Cash Compensation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Each of our named executive officers are eligible to receive performance-based cash bonuses, which are designed to provide appropriate incentives to our executives to achieve defined performance goals and to reward our executives for individual achievement towards these goals. The performance-based bonus each named executive officer is eligible to receive is generally based on the extent to which we achieve certain Company goals and each individual’s support of such goals, as determined by our board of directors. The corporate goals that our board of directors established for 2025 related to certain clinical milestones, product design activities, regulatory milestones, research and development objectives, and financial metrics related to cash management. For 2025, Mr. Mooney’s target bonus was 40% of his base salary, Dr. Kahook’s target bonus was 35% of the fixed cash fees paid to CU Medicine for Dr. Kahook’s services to us, and Dr. Pujara’s target bonus was 35% of his base salary.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February 2026, our compensation committee completed a review of the Company’s performance against the corporate performance goals for 2025. In its review, our compensation committee evaluated the Company’s progress against these corporate goals, determining that the goals were exceeded. Based upon this evaluation, our compensation committee approved payment of a cash bonus to each of our named executive officers as reflected in the “Non-Equity Incentive Plan Compensation” column of the Summary Compensation Table above. Each cash bonus was paid to Mr. Mooney, Dr. Kahook, and Dr. Pujara in the first quarter of 2026.</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Equity Based Incentive Awards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equity-based incentive awards are designed to more closely align our interests and those of our stockholders with the interests of our employees and consultants, including our named executive officers.</w:t>
      </w:r>
    </w:p>
    <w:p>
      <w:pPr>
        <w:pStyle w:val="TextBody"/>
        <w:bidi w:val="0"/>
        <w:spacing w:lineRule="auto" w:line="288" w:before="0" w:after="240"/>
        <w:jc w:val="left"/>
        <w:rPr/>
      </w:pPr>
      <w:r>
        <w:rPr>
          <w:rFonts w:ascii="Trade Gothic;sans-serif" w:hAnsi="Trade Gothic;sans-serif"/>
          <w:b w:val="false"/>
          <w:color w:val="000000"/>
          <w:sz w:val="19"/>
        </w:rPr>
        <w:t>Prior to our IPO in February 2026 we had only granted equity awards in the form of stock options under the terms of our 2019 Plan. Following our IPO in February 2026, we grant equity awards under the terms of our 2026 Plan. The terms of the 2019 Plan and the 2026 Plan are described below under </w:t>
      </w:r>
      <w:r>
        <w:rPr>
          <w:color w:val="000000"/>
        </w:rPr>
        <w:t>“</w:t>
      </w:r>
      <w:r>
        <w:rPr>
          <w:rFonts w:ascii="Trade Gothic;sans-serif" w:hAnsi="Trade Gothic;sans-serif"/>
          <w:b w:val="false"/>
          <w:i/>
          <w:color w:val="000000"/>
          <w:sz w:val="19"/>
        </w:rPr>
        <w:t>Employee Benefit and Stock Plans.”</w:t>
      </w:r>
      <w:r>
        <w:rPr>
          <w:color w:val="000000"/>
        </w:rPr>
        <w:t xml:space="preserve"> </w:t>
      </w:r>
      <w:r>
        <w:rPr>
          <w:rFonts w:ascii="Trade Gothic;sans-serif" w:hAnsi="Trade Gothic;sans-serif"/>
          <w:b w:val="false"/>
          <w:color w:val="000000"/>
          <w:sz w:val="19"/>
        </w:rPr>
        <w:t>Prior to our IPO, all stock options were granted with an exercise price per share that was no less than the fair market value of our common stock on the date of grant of such award as determined by our board of directors based on an independent third-party valuation.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2025 Option Grants</w:t>
      </w:r>
    </w:p>
    <w:p>
      <w:pPr>
        <w:pStyle w:val="TextBody"/>
        <w:bidi w:val="0"/>
        <w:spacing w:lineRule="auto" w:line="288" w:before="0" w:after="240"/>
        <w:jc w:val="left"/>
        <w:rPr/>
      </w:pPr>
      <w:r>
        <w:rPr>
          <w:rFonts w:ascii="Trade Gothic;sans-serif" w:hAnsi="Trade Gothic;sans-serif"/>
          <w:b w:val="false"/>
          <w:color w:val="000000"/>
          <w:sz w:val="19"/>
        </w:rPr>
        <w:t>In February 2025, in connection with Dr. Pujara’s commencement of employment with us, our board of directors granted Dr. Pujara an option to purchase 153,219 shares of common stock, with a per share exercise price of $2.18. Such option vested as to 25% of the shares subject to the option on the one-year anniversary of the vesting commencement date and vests as to 1/36</w:t>
      </w:r>
      <w:r>
        <w:rPr>
          <w:rFonts w:ascii="Trade Gothic;sans-serif" w:hAnsi="Trade Gothic;sans-serif"/>
          <w:b w:val="false"/>
          <w:color w:val="000000"/>
          <w:sz w:val="12"/>
        </w:rPr>
        <w:t>th</w:t>
      </w:r>
      <w:r>
        <w:rPr>
          <w:color w:val="000000"/>
        </w:rPr>
        <w:t xml:space="preserve"> </w:t>
      </w:r>
      <w:r>
        <w:rPr>
          <w:rFonts w:ascii="Trade Gothic;sans-serif" w:hAnsi="Trade Gothic;sans-serif"/>
          <w:b w:val="false"/>
          <w:color w:val="000000"/>
          <w:sz w:val="19"/>
        </w:rPr>
        <w:t>of the remaining shares subject to the option monthly thereafter, subject to Dr. Pujara continuing to provide services to the Company through each such date. The vesting commencement date of the option is February 26, 2025.</w:t>
      </w:r>
    </w:p>
    <w:p>
      <w:pPr>
        <w:pStyle w:val="TextBody"/>
        <w:bidi w:val="0"/>
        <w:spacing w:lineRule="auto" w:line="288" w:before="0" w:after="240"/>
        <w:jc w:val="left"/>
        <w:rPr/>
      </w:pPr>
      <w:r>
        <w:rPr>
          <w:rFonts w:ascii="Trade Gothic;sans-serif" w:hAnsi="Trade Gothic;sans-serif"/>
          <w:b w:val="false"/>
          <w:color w:val="000000"/>
          <w:sz w:val="19"/>
        </w:rPr>
        <w:t>In April 2025, our board of directors granted Mr. Mooney an option to purchase 126,986 shares of common stock, Dr. Kahook an option to purchase 191,874 shares of common stock, and Dr. Pujara an option to purchase 31,397 shares of common stock, each with a per share exercise price of $2.87. Such options vest as to 25% of the shares subject to the option on the one-year anniversary of the vesting commencement date and as to 1/36</w:t>
      </w:r>
      <w:r>
        <w:rPr>
          <w:rFonts w:ascii="Trade Gothic;sans-serif" w:hAnsi="Trade Gothic;sans-serif"/>
          <w:b w:val="false"/>
          <w:color w:val="000000"/>
          <w:sz w:val="12"/>
        </w:rPr>
        <w:t>th</w:t>
      </w:r>
      <w:r>
        <w:rPr>
          <w:color w:val="000000"/>
        </w:rPr>
        <w:t xml:space="preserve"> </w:t>
      </w:r>
      <w:r>
        <w:rPr>
          <w:rFonts w:ascii="Trade Gothic;sans-serif" w:hAnsi="Trade Gothic;sans-serif"/>
          <w:b w:val="false"/>
          <w:color w:val="000000"/>
          <w:sz w:val="19"/>
        </w:rPr>
        <w:t>of the remaining shares subject to the option monthly thereafter, subject to the applicable service provider continuing to provide services to the Company through each such date. The vesting commencement date of each of the options is March 20,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0335"/>
                <wp:effectExtent l="0" t="0" r="0" b="0"/>
                <wp:wrapNone/>
                <wp:docPr id="168" name="Frame15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color w:val="000000"/>
          <w:sz w:val="19"/>
        </w:rPr>
        <w:t>In July 2025, our board of directors granted Mr. Mooney an option to purchase 329,784 shares of common stock, Dr. Kahook an option to purchase 170,475 shares of common stock, and Dr. Pujara an option to purchase 34,798 shares of common stock, each with a per share exercise price of $7.11. Such options vest as to 25% of the shares subject to the option on the one-year anniversary of the vesting commencement date and as to 1/36</w:t>
      </w:r>
      <w:r>
        <w:rPr>
          <w:rFonts w:ascii="Trade Gothic;sans-serif" w:hAnsi="Trade Gothic;sans-serif"/>
          <w:b w:val="false"/>
          <w:color w:val="000000"/>
          <w:sz w:val="12"/>
        </w:rPr>
        <w:t>th</w:t>
      </w:r>
      <w:r>
        <w:rPr>
          <w:color w:val="000000"/>
        </w:rPr>
        <w:t xml:space="preserve"> </w:t>
      </w:r>
      <w:r>
        <w:rPr>
          <w:rFonts w:ascii="Trade Gothic;sans-serif" w:hAnsi="Trade Gothic;sans-serif"/>
          <w:b w:val="false"/>
          <w:color w:val="000000"/>
          <w:sz w:val="19"/>
        </w:rPr>
        <w:t>of the remaining shares subject to the option monthly thereafter, subject to the applicable service provider continuing to provide services to the Company through each such date. The vesting commencement date of each of the options is May 30,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options granted to Mr. Mooney and Dr. Pujara are subject to acceleration in accordance with the Severance Plan (as defined below).</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IPO Equity Awards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January 2026, in connection with our IPO, our board of directors approved option grants (the IPO Grants) to each of our named executive officers in the amounts of 300,000 shares to Mr. Mooney and 105,000 shares to each of Dr. Kahook and Dr. Pujara, which were granted under the 2026 Plan, contingent upon our IPO and provided that such named executive officer was a service provider (as defined in the 2026 Plan) as of such date. Each option was granted on February 5, 2026, the date of pricing of the IPO, with an exercise price per share equal to $16.00, the IPO price per share. The options vest over a four-year period, with 25% of the shares subject to the option vesting on the first anniversary of the vesting commencement date (which is the grant date) and 1/48th of the shares subject to the option vesting each month thereafter on the same day of the month as the vesting commencement date (and if there is no corresponding day, on the last day of the month), subject to the named executive officer continuing to be a service provider through each such date. The IPO Grants are subject to the acceleration provisions contained in the 2026 Plan and, with respect to Mr. Mooney and Dr. Pujara, the Severance Plan (as defined below).</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Outstanding Equity Awards at Fiscal 2025 Year-End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sets forth information regarding outstanding equity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393"/>
        <w:gridCol w:w="322"/>
        <w:gridCol w:w="324"/>
        <w:gridCol w:w="109"/>
        <w:gridCol w:w="109"/>
        <w:gridCol w:w="109"/>
        <w:gridCol w:w="222"/>
        <w:gridCol w:w="222"/>
        <w:gridCol w:w="223"/>
        <w:gridCol w:w="109"/>
        <w:gridCol w:w="109"/>
        <w:gridCol w:w="109"/>
        <w:gridCol w:w="664"/>
        <w:gridCol w:w="664"/>
        <w:gridCol w:w="666"/>
        <w:gridCol w:w="109"/>
        <w:gridCol w:w="109"/>
        <w:gridCol w:w="109"/>
        <w:gridCol w:w="699"/>
        <w:gridCol w:w="371"/>
        <w:gridCol w:w="371"/>
        <w:gridCol w:w="371"/>
        <w:gridCol w:w="371"/>
        <w:gridCol w:w="376"/>
        <w:gridCol w:w="109"/>
        <w:gridCol w:w="109"/>
        <w:gridCol w:w="109"/>
        <w:gridCol w:w="264"/>
        <w:gridCol w:w="686"/>
        <w:gridCol w:w="127"/>
        <w:gridCol w:w="109"/>
        <w:gridCol w:w="109"/>
        <w:gridCol w:w="109"/>
        <w:gridCol w:w="357"/>
        <w:gridCol w:w="357"/>
        <w:gridCol w:w="520"/>
      </w:tblGrid>
      <w:tr>
        <w:trPr/>
        <w:tc>
          <w:tcPr>
            <w:tcW w:w="39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2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color w:val="000000"/>
                <w:sz w:val="16"/>
              </w:rPr>
              <w:t>Option Awards</w:t>
            </w:r>
            <w:r>
              <w:rPr>
                <w:rFonts w:ascii="Trade Gothic;sans-serif" w:hAnsi="Trade Gothic;sans-serif"/>
                <w:b/>
                <w:color w:val="000000"/>
                <w:sz w:val="10"/>
              </w:rPr>
              <w:t>(1)</w:t>
            </w:r>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color w:val="000000"/>
                <w:sz w:val="16"/>
              </w:rPr>
            </w:pPr>
            <w:r>
              <w:rPr>
                <w:rFonts w:ascii="Trade Gothic;sans-serif" w:hAnsi="Trade Gothic;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Number of Securities Underlying Unexercised Options (#) 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Number of Securities Underlying Unexercised Options (#) Unexercisable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color w:val="000000"/>
                <w:sz w:val="16"/>
              </w:rPr>
              <w:t>Option Exercise Price ($)</w:t>
            </w:r>
            <w:r>
              <w:rPr>
                <w:rFonts w:ascii="Trade Gothic;sans-serif" w:hAnsi="Trade Gothic;sans-serif"/>
                <w:b/>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Option Expiration Date</w:t>
            </w:r>
          </w:p>
        </w:tc>
      </w:tr>
      <w:tr>
        <w:trPr/>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Patrick Mooney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112,803 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7/25/2031</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15"/>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125,946 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106,571 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10/5/2033</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15"/>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26,384 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79,152 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12/29/2034</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126,986 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04/10/2035</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329,784 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07/23/2035</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Malik Y. Kahook,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39,210 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33,179 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10/5/2033</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191,874 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2.87 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4/10/2035</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170,475 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7.11 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7/23/2035</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Chetan Pujara,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153,219 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02/25/2035</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31,397 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04/10/2035</w:t>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34,798 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rade Gothic;sans-serif" w:hAnsi="Trade Gothic;sans-serif"/>
                <w:b w:val="false"/>
                <w:color w:val="000000"/>
                <w:sz w:val="12"/>
              </w:rPr>
            </w:pPr>
            <w:r>
              <w:rPr>
                <w:rFonts w:ascii="Trade Gothic;sans-serif" w:hAnsi="Trade Gothic;sans-serif"/>
                <w:b w:val="false"/>
                <w:color w:val="000000"/>
                <w:sz w:val="12"/>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07/23/2035</w:t>
            </w:r>
          </w:p>
        </w:tc>
      </w:tr>
      <w:tr>
        <w:trPr/>
        <w:tc>
          <w:tcPr>
            <w:tcW w:w="10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All of the outstanding stock option awards were granted under and subject to the terms of the 2019 Plan.</w:t>
      </w:r>
    </w:p>
    <w:p>
      <w:pPr>
        <w:pStyle w:val="TextBody"/>
        <w:bidi w:val="0"/>
        <w:spacing w:lineRule="auto" w:line="288" w:before="0" w:after="0"/>
        <w:ind w:left="0" w:right="0" w:hanging="360"/>
        <w:jc w:val="left"/>
        <w:rPr/>
      </w:pPr>
      <w:r>
        <w:rPr>
          <w:rFonts w:ascii="Trade Gothic;sans-serif" w:hAnsi="Trade Gothic;sans-serif"/>
          <w:b w:val="false"/>
          <w:color w:val="000000"/>
          <w:sz w:val="11"/>
        </w:rPr>
        <w:t>(2)</w:t>
      </w:r>
      <w:r>
        <w:rPr>
          <w:rFonts w:ascii="Trade Gothic;sans-serif" w:hAnsi="Trade Gothic;sans-serif"/>
          <w:b w:val="false"/>
          <w:color w:val="000000"/>
          <w:sz w:val="17"/>
        </w:rPr>
        <w:t>The stock option awards were granted with a per share exercise price equal to the fair market value of one share of our common stock on the date of grant, as determined in good faith by our board of directors based on third party valuations of our common stock.</w:t>
      </w:r>
    </w:p>
    <w:p>
      <w:pPr>
        <w:pStyle w:val="TextBody"/>
        <w:bidi w:val="0"/>
        <w:spacing w:lineRule="auto" w:line="288" w:before="0" w:after="0"/>
        <w:ind w:left="0" w:right="0" w:hanging="360"/>
        <w:jc w:val="left"/>
        <w:rPr/>
      </w:pPr>
      <w:r>
        <w:rPr>
          <w:rFonts w:ascii="Trade Gothic;sans-serif" w:hAnsi="Trade Gothic;sans-serif"/>
          <w:b w:val="false"/>
          <w:color w:val="000000"/>
          <w:sz w:val="11"/>
        </w:rPr>
        <w:t>(3)</w:t>
      </w:r>
      <w:r>
        <w:rPr>
          <w:rFonts w:ascii="Trade Gothic;sans-serif" w:hAnsi="Trade Gothic;sans-serif"/>
          <w:b w:val="false"/>
          <w:color w:val="000000"/>
          <w:sz w:val="17"/>
        </w:rPr>
        <w:t>Twenty-five percent (25%) of the shares subject to the option vested on July 2, 2022, and 1/36th of the remaining shares subject to the option vested each month thereafter on the same day of the month. The shares subject to the option fully vested on July 2, 2025.</w:t>
      </w:r>
    </w:p>
    <w:p>
      <w:pPr>
        <w:pStyle w:val="TextBody"/>
        <w:bidi w:val="0"/>
        <w:spacing w:lineRule="auto" w:line="288" w:before="0" w:after="0"/>
        <w:ind w:left="0" w:right="0" w:hanging="360"/>
        <w:jc w:val="left"/>
        <w:rPr/>
      </w:pPr>
      <w:r>
        <w:rPr>
          <w:rFonts w:ascii="Trade Gothic;sans-serif" w:hAnsi="Trade Gothic;sans-serif"/>
          <w:b w:val="false"/>
          <w:color w:val="000000"/>
          <w:sz w:val="11"/>
        </w:rPr>
        <w:t>(4)</w:t>
      </w:r>
      <w:r>
        <w:rPr>
          <w:rFonts w:ascii="Trade Gothic;sans-serif" w:hAnsi="Trade Gothic;sans-serif"/>
          <w:b w:val="false"/>
          <w:color w:val="000000"/>
          <w:sz w:val="17"/>
        </w:rPr>
        <w:t xml:space="preserve">Twenty-five percent (25%) of the shares subject to the option vested on October 6, 2024, and 1/36th of the remaining shares subject to the option shall vest each month thereafter on the same day of the month, subject to the executive continuing to be a service provider to the Company through each such date. </w:t>
      </w:r>
    </w:p>
    <w:p>
      <w:pPr>
        <w:pStyle w:val="TextBody"/>
        <w:bidi w:val="0"/>
        <w:spacing w:lineRule="auto" w:line="288" w:before="0" w:after="0"/>
        <w:ind w:left="0" w:right="0" w:hanging="360"/>
        <w:jc w:val="left"/>
        <w:rPr/>
      </w:pPr>
      <w:r>
        <w:rPr>
          <w:rFonts w:ascii="Trade Gothic;sans-serif" w:hAnsi="Trade Gothic;sans-serif"/>
          <w:b w:val="false"/>
          <w:color w:val="000000"/>
          <w:sz w:val="11"/>
        </w:rPr>
        <w:t>(5)</w:t>
      </w:r>
      <w:r>
        <w:rPr>
          <w:rFonts w:ascii="Trade Gothic;sans-serif" w:hAnsi="Trade Gothic;sans-serif"/>
          <w:b w:val="false"/>
          <w:color w:val="000000"/>
          <w:sz w:val="17"/>
        </w:rPr>
        <w:t xml:space="preserve">One hundred percent (100%) of any unvested shares subject to such option will vest if the executive is terminated by us without "cause" (and other than due to the executive’s death or "disability") or by the executive for "good reason" (as such terms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0335"/>
                <wp:effectExtent l="0" t="0" r="0" b="0"/>
                <wp:wrapNone/>
                <wp:docPr id="169" name="Frame15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0"/>
        <w:jc w:val="left"/>
        <w:rPr>
          <w:rFonts w:ascii="Trade Gothic;sans-serif" w:hAnsi="Trade Gothic;sans-serif"/>
          <w:b w:val="false"/>
          <w:color w:val="000000"/>
          <w:sz w:val="17"/>
        </w:rPr>
      </w:pPr>
      <w:r>
        <w:rPr>
          <w:rFonts w:ascii="Trade Gothic;sans-serif" w:hAnsi="Trade Gothic;sans-serif"/>
          <w:b w:val="false"/>
          <w:color w:val="000000"/>
          <w:sz w:val="17"/>
        </w:rPr>
        <w:t>defined in the Severance Agreements), in either case, occurring within a period beginning 3 months prior to and ending 12 months following a "change in control" (as defined in the Severance Agreements).</w:t>
      </w:r>
    </w:p>
    <w:p>
      <w:pPr>
        <w:pStyle w:val="TextBody"/>
        <w:bidi w:val="0"/>
        <w:spacing w:lineRule="auto" w:line="288" w:before="0" w:after="0"/>
        <w:ind w:left="0" w:right="0" w:hanging="360"/>
        <w:jc w:val="left"/>
        <w:rPr/>
      </w:pPr>
      <w:r>
        <w:rPr>
          <w:rFonts w:ascii="Trade Gothic;sans-serif" w:hAnsi="Trade Gothic;sans-serif"/>
          <w:b w:val="false"/>
          <w:color w:val="000000"/>
          <w:sz w:val="11"/>
        </w:rPr>
        <w:t>(6)</w:t>
      </w:r>
      <w:r>
        <w:rPr>
          <w:rFonts w:ascii="Trade Gothic;sans-serif" w:hAnsi="Trade Gothic;sans-serif"/>
          <w:b w:val="false"/>
          <w:color w:val="000000"/>
          <w:sz w:val="17"/>
        </w:rPr>
        <w:t xml:space="preserve">Twenty-five percent (25%) of the shares subject to the option vested on December 13, 2025, and 1/36th of the remaining shares subject to the option shall vest each month thereafter on the same day of the month, subject to Mr. Mooney continuing to be a service provider to the Company through each such date. </w:t>
      </w:r>
    </w:p>
    <w:p>
      <w:pPr>
        <w:pStyle w:val="TextBody"/>
        <w:bidi w:val="0"/>
        <w:spacing w:lineRule="auto" w:line="288" w:before="0" w:after="0"/>
        <w:ind w:left="0" w:right="0" w:hanging="360"/>
        <w:jc w:val="left"/>
        <w:rPr/>
      </w:pPr>
      <w:r>
        <w:rPr>
          <w:rFonts w:ascii="Trade Gothic;sans-serif" w:hAnsi="Trade Gothic;sans-serif"/>
          <w:b w:val="false"/>
          <w:color w:val="000000"/>
          <w:sz w:val="11"/>
        </w:rPr>
        <w:t>(7)</w:t>
      </w:r>
      <w:r>
        <w:rPr>
          <w:rFonts w:ascii="Trade Gothic;sans-serif" w:hAnsi="Trade Gothic;sans-serif"/>
          <w:b w:val="false"/>
          <w:color w:val="000000"/>
          <w:sz w:val="17"/>
        </w:rPr>
        <w:t>Twenty-five percent (25%) of the shares subject to the option vested on March 20, 2026, and 1/36th of the remaining shares subject to the option shall vest each month thereafter on the same day of the month, subject to the executive continuing to be a service provider to the Company through each such date.</w:t>
      </w:r>
    </w:p>
    <w:p>
      <w:pPr>
        <w:pStyle w:val="TextBody"/>
        <w:bidi w:val="0"/>
        <w:spacing w:lineRule="auto" w:line="288" w:before="0" w:after="0"/>
        <w:ind w:left="0" w:right="0" w:hanging="360"/>
        <w:jc w:val="left"/>
        <w:rPr/>
      </w:pPr>
      <w:r>
        <w:rPr>
          <w:rFonts w:ascii="Trade Gothic;sans-serif" w:hAnsi="Trade Gothic;sans-serif"/>
          <w:b w:val="false"/>
          <w:color w:val="000000"/>
          <w:sz w:val="11"/>
        </w:rPr>
        <w:t>(8)</w:t>
      </w:r>
      <w:r>
        <w:rPr>
          <w:rFonts w:ascii="Trade Gothic;sans-serif" w:hAnsi="Trade Gothic;sans-serif"/>
          <w:b w:val="false"/>
          <w:color w:val="000000"/>
          <w:sz w:val="17"/>
        </w:rPr>
        <w:t>Twenty-five percent (25%) of the shares subject to the option shall vest on May 30, 2026, and 1/36th of the remaining shares subject to the option shall vest each month thereafter on the same day of the month, subject to the executive continuing to be a service provider to the Company through each such date.</w:t>
      </w:r>
    </w:p>
    <w:p>
      <w:pPr>
        <w:pStyle w:val="TextBody"/>
        <w:bidi w:val="0"/>
        <w:spacing w:lineRule="auto" w:line="288" w:before="0" w:after="240"/>
        <w:ind w:left="0" w:right="0" w:hanging="360"/>
        <w:jc w:val="left"/>
        <w:rPr/>
      </w:pPr>
      <w:r>
        <w:rPr>
          <w:rFonts w:ascii="Trade Gothic;sans-serif" w:hAnsi="Trade Gothic;sans-serif"/>
          <w:b w:val="false"/>
          <w:color w:val="000000"/>
          <w:sz w:val="11"/>
        </w:rPr>
        <w:t>(9)</w:t>
      </w:r>
      <w:r>
        <w:rPr>
          <w:rFonts w:ascii="Trade Gothic;sans-serif" w:hAnsi="Trade Gothic;sans-serif"/>
          <w:b w:val="false"/>
          <w:color w:val="000000"/>
          <w:sz w:val="17"/>
        </w:rPr>
        <w:t>Twenty-five percent (25%) of the shares subject to the option shall vested on February 26, 2026, and 1/36th of the remaining shares subject to the option shall vest each month thereafter on the same day of the month, subject to the executive continuing to be a service provider to the Company through each such date.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Agreements with our Named Executive Officers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Offer Letters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entered into offer letters with each of Mr. Mooney and Dr. Pujara in 2021 and 2025, respectively, that provide for initial base salary, incentive compensation and an initial stock option award. The employment of each of Mr. Mooney and Dr. Pujara is “at will” and may be terminated at any time. Prior to Dr. Pujara beginning full time employment with the Company on February 26, 2025 pursuant to his offer letter with the Company entered into on January 31, 2025, Dr. Pujara was a consultant of the Company pursuant to a consulting agreement between the Company and Oasis Consulting, a company solely owned by Dr. Pujara (the Pujara Consulting Agreement). Pursuant to the Pujara Consulting Agreement, we paid fixed cash fees to Dr. Pujara for Dr. Pujara’s consulting services to us, at an hourly rate of $300 for no more than 6 hours per week.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our IPO, we entered into a confirmatory employment letter with each of Mr. Mooney and Dr. Pujara, which superseded all pre-existing agreements and understandings that each of Mr. Mooney and Dr. Pujara may have had concerning his service relationship with us.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Patrick Mooney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confirmatory employment letter with Mr. Mooney provides for his continued employment with us on an at-will basis, effective in connection with our IPO in February 2026. Under his confirmatory employment letter, Mr. Mooney’s annual base salary is $650,000, and his annual target bonus opportunity is 60% of his annual base salary ($390,000). Mr. Mooney is also eligible for certain severance and change in control benefits as set forth in our Severance Plan, described below under “Change in Control and Severance Plan,” which supersede the terms of his Severance Agreement, as described below.</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Chetan Pujara, Ph.D.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confirmatory employment letter with Dr. Pujara provides for his continued employment with us on an at-will basis, effective in connection with our IPO in February 2026. Under his confirmatory employment letter, Dr. Pujara’s annual base salary is $510,000, and his annual target bonus opportunity is 40% of his annual base salary ($204,000). Dr. Pujara is also eligible for certain severance and change in control benefits, as set forth in our Severance Plan, described below under “Change in Control and Severance Plan,” which supersedes the terms of his Severance Agreement, as described below.</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Each of Mr. Mooney and Dr. Pujara has executed our standard form of confidential information, invention assignment and arbitration agreement.</w:t>
      </w:r>
    </w:p>
    <w:p>
      <w:pPr>
        <w:pStyle w:val="TextBody"/>
        <w:bidi w:val="0"/>
        <w:spacing w:before="80" w:after="40"/>
        <w:jc w:val="left"/>
        <w:rPr/>
      </w:pPr>
      <w:r>
        <w:rPr/>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Services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entered into a services agreement with CU Medicine in 2019 providing for the services of Dr. Kahook, which was amended most recently on December 2, 2025 (the Kahook Agreement). Pursuant to the terms of the Kahook Agreement, Dr. Kahook, who is an employee of the University of Colorado Anschutz School of Medicine, provides the Company with services and in exchange we pay CU Medicine monthly fees for such services ($24,995 per month, as of March 1, 2025). The Kahook Agreement may be terminated by the Company or CU Medicine at any time upon 30 days advance written notice, and the term of the Kahook Agreement automatically renews on February 28th of each year, unless terminated earlier by the Company or CU Medicine. Effective in connection with our IPO in February 2026, Dr. Kahook’s consulting fee was increased to $34,000 per month, and Dr. Kahook is entitled to an annual target bonus of $163,200.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0335"/>
                <wp:effectExtent l="0" t="0" r="0" b="0"/>
                <wp:wrapNone/>
                <wp:docPr id="170" name="Frame15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Change in Control and Severance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adopted a Change in Control and Severance Plan (the Severance Plan) that became effective in connection with our IPO and superseded and replaced any other severance payments and benefits to which a participant was entitled. Each of Mr. Mooney and Dr. Pujara is a participant under our Severance Plan eligible for the payments and benefits described below.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event of a termination of employment by us without "cause" (and other than due to the participant’s death or "disability") or, with respect to Mr. Mooney, by the executive for “good reason” (as such terms are defined in our Severance Plan), that occurs outside of the “change in control period” (as described below), Mr. Mooney and Dr. Pujara will be eligible to receive the following payments and benefits: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lump-sum payment equal to 12 months (for Mr. Mooney) and 6 months (for Dr. Pujara) of the participant’s annual base salary; and</w:t>
      </w:r>
    </w:p>
    <w:p>
      <w:pPr>
        <w:pStyle w:val="TextBody"/>
        <w:bidi w:val="0"/>
        <w:spacing w:lineRule="auto" w:line="288" w:before="0" w:after="24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payment of premiums for continued health coverage under COBRA for a period of 12 months (for Mr. Mooney) or 6 months (for Dr. Pujara).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event of a termination of the employment by us without "cause" (and other than due to the participant’s death or "disability") or by the participant for “good reason” (as such terms are defined in our Severance Plan), in either case, occurring within a period beginning 3 months prior to and ending 12 months following the closing of a "change in control" (as defined in our Severance Plan, and such period the "change in control period"), Mr. Mooney and Dr. Pujara will be eligible to receive the following payments and benefits:</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for Dr. Pujara, a lump-sum payment equal to (i) 12 months of annual base salary, plus (ii) the target annual bonus as in effect for the fiscal year in which the qualifying termination of employment occurs;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 Mr. Mooney, a lump-sum payment equal to 1.5 times the sum of (i) 12 months of annual base salary, plus (ii) the target annual bonus as in effect for the fiscal year in which the qualifying termination of employment occurs;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payment of premiums for continued health coverage under the COBRA for a period of 18 months (for Mr. Mooney) or 12 months (for Dr. Pujara);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100% accelerated vesting of all outstanding equity awards, and, with respect to equity awards with performance-based vesting, all performance goals or other vesting criteria will be deemed achieved at 100% of target levels for the relevant performance period(s), unless otherwise determined by the applicable agreement governing such equity award.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receipt of the payments and benefits provided for under the Severance Plan described above is conditioned on the participant (i) resigning from all officer, director or other service positions with us (unless the administrator provides otherwise), (ii) signing and not revoking a separation and release of claims agreement and such release becoming effective and irrevocable no later than the 60th day following the participant’s termination of employment, (iii) continued compliance with any confidentiality, proprietary information, and inventions agreement applicable to the participant, (iv) complying with non-disparagement obligations, and (v) returning all documents and other company property.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if any of the payments or benefits provided for under our Severance Plan or otherwise payable to the executive officer would constitute "parachute payments" within the meaning of Section 280G of the Code and could be subject to the related excise tax, the executive officer will receive either full payment of such payments and benefits or such lesser amount that would result in no portion of the payments and benefits being subject to the excise tax, whichever results in the greater amount of after-tax benefits to them. Our Severance Plan does not require us to provide any tax gross-up payments to the participants.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Agreements with Dr. Viret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October 20, 2025, we entered into an offer letter with Dr. Viret (the Viret Letter) providing for his commencement of employment with us as our chief financial officer on or around January 1, 2026 (the Viret Employment Start Date). Pursuant to the Viret Letter, effective upon Dr. Viret’s employment start date of January 1, 2026, Dr. Viret’s initial annual base salary was $400,000, and the target amount of his annual performance bonus opportunity was 35% of his annual base salary. Dr. Viret is eligible to participate in the employee benefit plans generally available to our employees and employed “at will.”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Viret Letter also provides for a one-time sign-on bonus equal to $10,000 and an option grant to purchase 263,907 shares of our common stock, which will vest as to 25% of the shares subject to the option on the one-year anniversary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0335"/>
                <wp:effectExtent l="0" t="0" r="0" b="0"/>
                <wp:wrapNone/>
                <wp:docPr id="171" name="Frame15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color w:val="000000"/>
          <w:sz w:val="19"/>
        </w:rPr>
        <w:t>of his commencement of employment with us and as to 1/36</w:t>
      </w:r>
      <w:r>
        <w:rPr>
          <w:rFonts w:ascii="Trade Gothic;sans-serif" w:hAnsi="Trade Gothic;sans-serif"/>
          <w:b w:val="false"/>
          <w:color w:val="000000"/>
          <w:sz w:val="12"/>
        </w:rPr>
        <w:t>th</w:t>
      </w:r>
      <w:r>
        <w:rPr>
          <w:color w:val="000000"/>
        </w:rPr>
        <w:t xml:space="preserve"> </w:t>
      </w:r>
      <w:r>
        <w:rPr>
          <w:rFonts w:ascii="Trade Gothic;sans-serif" w:hAnsi="Trade Gothic;sans-serif"/>
          <w:b w:val="false"/>
          <w:color w:val="000000"/>
          <w:sz w:val="19"/>
        </w:rPr>
        <w:t>of the remaining shares monthly thereafter, subject to Dr. Viret’s continued services (the Viret Option Grant).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November 10, 2025, we entered into a consulting agreement with Dr. Viret pursuant to which Dr. Viret began providing consulting services to us in a non-employee, non-executive capacity to assist with financial activities relating to our preparation for our IPO in an amount of $240 per hour. As consideration for Dr. Viret’s pre-employment consulting services, we granted Dr. Viret the Viret Option Grant on November 13, 2025 with an exercise price per share equal to $10.55 which was equal to the fair market value of our common stock on such date, as determined by our board of directors. The Viret Option Grant did not commence vesting until the Viret Employment Start Date. Dr. Viret’s consulting agreement provided for termination by the Company by giving 14 days prior written notice and terminated automatically in connection with the Viret Employment Start Date.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our IPO, we entered into a confirmatory offer letter with Dr. Viret that provides for his continued employment with us on an at-will basis and supersedes the Viret Letter. Pursuant to his confirmatory employment letter, Dr. Viret’s annual base salary is $510,000, and his annual target bonus opportunity is 40% of his annual base salary ($204,000). Dr. Viret is also eligible for severance and change in control benefits, as set forth in our Severance Plan on the same terms as Dr. Pujara.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January 2026, our board of directors approved an IPO Option grant to Dr. Viret in the amount of 17,500 shares, which was granted at the same time and under the same terms as the IPO Options granted to our named executive officers, and subject to the acceleration provisions contained in the 2026 Plan and the Severance Plan.</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Other Elements of Compensation and Compensation Policies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Health and Welfare Benefits; Perquisites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provide benefits to Mr. Mooney and Dr. Pujara on the same basis as provided to all of our employees, including health, dental and vision insurance; life insurance; accidental death and dismemberment insurance; short-and long-term disability insurance and a tax-qualified Section 401(k) plan. We do not provide any of the foregoing benefits to Dr. Kahook because he is an employee of University of Colorado Anschutz School of Medicine.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generally do not provide material perquisites or personal benefits to our executive officers. We do, however, pay the premiums for term life insurance and long-term disability for all of our employees, including Mr. Mooney and Dr. Pujara. None of our executive officers participate in or have account balances in qualified or non-qualified defined benefit plans sponsored by us. Our board of directors may elect to adopt qualified or non-qualified defined benefit plans in the future if it determines that doing so is in our best interests.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 of our executive officers participate in or have account balances in nonqualified defined contribution plans or other nonqualified deferred compensation plans maintained by us. Our board of directors may elect to provide our officers and other employees with non-qualified defined contribution or other nonqualified deferred compensation benefits in the future if it determines that doing so is in our best interests.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401(k)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maintain a 401(k) retirement savings plan (401(k) plan), which is intended to be a tax qualified defined contribution plan under Section 401(k) of the Code for the benefit of our employees, including certain of our named executive officers, who satisfy certain eligibility requirements. Under the 401(k) plan, eligible employees may elect to defer a portion of their compensation, within the limits prescribed by the Code, on a pre-tax (traditional) or post-tax (Roth) basis, through contributions to the 401(k) plan. As a tax-qualified retirement plan, pre-tax contributions to the 401(k) plan and earnings on those pre-tax contributions are not taxable to the employees until distributed from the 401(k) plan, and earnings on Roth contributions are not taxable when distributed from the 401(k) plan. We did not make matching contributions under the 401(k) plan in fiscal 2025.</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Clawback Policy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adopted a compensation recovery policy that complies with the SEC rules under the Dodd-Frank Wall Street Reform and Consumer Protection Act (the Clawback Policy). Subject to the terms of the Clawback Policy, the Clawback Policy requires us to recover certain cash or equity-based incentive compensation payments or awards made or granted to an executive officer in the event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0335"/>
                <wp:effectExtent l="0" t="0" r="0" b="0"/>
                <wp:wrapNone/>
                <wp:docPr id="172" name="Frame15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Policies and Practices Related to the Grant of Certain Equity Awards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time to time, we grant stock options to our named executive officers, our employees and our other service providers. Historically, we have granted new-hire option awards on or soon after a new-hire’s employment start date and refresh, promotion or retention option grants when and as determined by our board of directors or compensation committee thereof. In response to Item 402(x)(1) of Regulation S-K, we have no specific policy or practice on the timing of options or other equity awards in relation to the public disclosure of material nonpublic information by us, and we have no 2025 stock option or other awards to disclose under Item 402(x)(2).</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Employee Benefit and Stock Plans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2019 Equity Incentive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2019 Plan was adopted by our board of directors on January 11, 2019 and approved by stockholders on January 18, 2019. The 2019 Plan was most recently amended in May 2025. Our 2019 Plan provides for the grant of incentive stock options, within the meaning of Section 422 of the Code, nonstatutory stock options, stock appreciation rights, restricted stock awards and restricted stock units (collectively, Awards) to eligible employees and consultants and any parent or subsidiary of the Company and members of our board of directors.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our IPO, our 2019 Plan terminated and we will not grant any additional Awards under our 2019 Plan following its termination. However, our 2019 Plan will continue to govern the terms and conditions of the outstanding Awards previously granted under our 2019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stock options covering 3,405,906 shares of our common stock were outstanding under our 2019 Plan and there were no stock appreciation rights, restricted stock awards or restricted stock units outstanding under our 2019 Plan.</w:t>
      </w:r>
    </w:p>
    <w:p>
      <w:pPr>
        <w:pStyle w:val="TextBody"/>
        <w:bidi w:val="0"/>
        <w:spacing w:lineRule="auto" w:line="288" w:before="0" w:after="240"/>
        <w:jc w:val="left"/>
        <w:rPr/>
      </w:pPr>
      <w:r>
        <w:rPr>
          <w:rFonts w:ascii="Trade Gothic;sans-serif" w:hAnsi="Trade Gothic;sans-serif"/>
          <w:b w:val="false"/>
          <w:i/>
          <w:color w:val="000000"/>
          <w:sz w:val="19"/>
        </w:rPr>
        <w:t>Authorized Shares</w:t>
      </w:r>
      <w:r>
        <w:rPr>
          <w:rFonts w:ascii="Trade Gothic;sans-serif" w:hAnsi="Trade Gothic;sans-serif"/>
          <w:b w:val="false"/>
          <w:color w:val="000000"/>
          <w:sz w:val="19"/>
        </w:rPr>
        <w:t>. Subject to the adjustment provisions in our 2019 Plan, the maximum aggregate number of shares of common stock that may be granted under our 2019 Plan is 4,610,036 shares of common stock. The shares may be authorized, but unissued, or reacquired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an Award expires or becomes unexercisable for any reason without having been exercised in full, is surrendered pursuant to a program approved by the administrator of our 2019 Plan where outstanding Awards may be surrendered or cancelled in exchange for awards of the same type (which may have a higher or lower exercise price and different terms), awards of a different type and/or cash, by which participants would have the opportunity to transfer outstanding awards to a financial institution or other person or entity selected by the administrator, or by which the exercise price of an outstanding Award is reduced or increased, or, with respect to restricted stock awards or restricted stock units, is forfeited to or repurchased by the Company due to the failure to vest, the unpurchased shares (or for Awards other than options or stock appreciation rights the forfeited or repurchased shares), the unpurchased shares that were subject thereto shall, unless the 2019 Plan has been terminated, become available for future grant under our 2019 Plan. In addition, shares that have actually been issued under the 2019 Plan under any Award will not be returned to the 2019 Plan and will not become available for future distribution under the 2019 Plan; provided, however, that if shares issued pursuant to Awards of restricted stock or restricted stock units are repurchased by the Company or are forfeited to the Company due to the failure to vest, such shares will become available for future grant under the 2019 Plan. Shares used to pay the exercise price of an Award or to satisfy the tax withholding obligations related to an Award will become available for future grant or sale under the 2019 Plan. To the extent an Award under the 2019 Plan is paid out in cash rather than shares, such cash payment will not result in reducing the number of shares available for issuance under the 2019 Plan.</w:t>
      </w:r>
    </w:p>
    <w:p>
      <w:pPr>
        <w:pStyle w:val="TextBody"/>
        <w:bidi w:val="0"/>
        <w:spacing w:lineRule="auto" w:line="288" w:before="0" w:after="240"/>
        <w:jc w:val="left"/>
        <w:rPr/>
      </w:pPr>
      <w:r>
        <w:rPr>
          <w:rFonts w:ascii="Trade Gothic;sans-serif" w:hAnsi="Trade Gothic;sans-serif"/>
          <w:b w:val="false"/>
          <w:i/>
          <w:color w:val="000000"/>
          <w:sz w:val="19"/>
        </w:rPr>
        <w:t>Plan Administration</w:t>
      </w:r>
      <w:r>
        <w:rPr>
          <w:rFonts w:ascii="Trade Gothic;sans-serif" w:hAnsi="Trade Gothic;sans-serif"/>
          <w:b w:val="false"/>
          <w:color w:val="000000"/>
          <w:sz w:val="19"/>
        </w:rPr>
        <w:t>. Our 2019 Plan is administered by our board of directors or a committee of our board of directors, or a combination thereof, as determined by our board of directors.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Subject to the provisions of our 2019 Plan, the administrator will have the power to administer our 2019 Plan, including but not limited to: the power to determine the fair market value of our common stock in accordance with the provisions of the 2019 Plan; select the employees, directors and consultants to whom Awards may from time to time be granted; determine whether and to what extent Awards are granted; determine the number of shares of common stock covered by each Award; approve forms of award agreements for use under our 2019 Plan; determine the terms and conditions not inconsistent with the terms of our 2019 Plan, of any Award granted, which terms and conditions include but are not limited to the exercise or purchase price, the time or times when Awards may be exercised (which may be based on performance criteria), any vesting acceleration or waiver of forfeiture restrictions, and any restriction or limitation regarding any stock option, optioned stock, stock right or restricted stock, based in each case on such factors as the administrator determines; implement a program approved by the administrator of the 2019 Plan where outstanding Awards may be surrendered or cancelled in exchange for awards of the same type (which may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0335"/>
                <wp:effectExtent l="0" t="0" r="0" b="0"/>
                <wp:wrapNone/>
                <wp:docPr id="173" name="Frame15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higher or lower exercise price and different terms), awards of a different type and/or cash, by which participants would have the opportunity to transfer outstanding awards to a financial institution or other person or entity selected by the administrator, or by which the exercise price of an outstanding award is reduced or increased; construe and interpret the terms of our 2019 Plan and awards granted under it; without amending our 2019 Plan, modify grants of stock options or stock rights to any holder of stock options or stock rights who are foreign nationals or employed outside of the United States in order to recognize differences in local law, tax policies, or customs. The administrator’s constructions, interpretations, and decisions will be final and binding on all participants.</w:t>
      </w:r>
    </w:p>
    <w:p>
      <w:pPr>
        <w:pStyle w:val="TextBody"/>
        <w:bidi w:val="0"/>
        <w:spacing w:lineRule="auto" w:line="288" w:before="0" w:after="240"/>
        <w:jc w:val="left"/>
        <w:rPr/>
      </w:pPr>
      <w:r>
        <w:rPr>
          <w:rFonts w:ascii="Trade Gothic;sans-serif" w:hAnsi="Trade Gothic;sans-serif"/>
          <w:b w:val="false"/>
          <w:i/>
          <w:color w:val="000000"/>
          <w:sz w:val="19"/>
        </w:rPr>
        <w:t>Stock Options</w:t>
      </w:r>
      <w:r>
        <w:rPr>
          <w:rFonts w:ascii="Trade Gothic;sans-serif" w:hAnsi="Trade Gothic;sans-serif"/>
          <w:b w:val="false"/>
          <w:color w:val="000000"/>
          <w:sz w:val="19"/>
        </w:rPr>
        <w:t>. Our 2019 Plan permits the grant of stock options. Incentive stock options may be granted only to employees, including employees who are also directors. Each stock option shall be designated in an option agreement as either an incentive stock option or a nonstatutory stock option. The maximum number of shares of common stock with respect to which incentive stock options may be granted under our 2019 Plan is 4,610,036.</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term of each stock option shall be the term stated in the applicable option agreement; provided that the term shall be no more than ten years from the date of grant, or such shorter term as may be provided in the option agreement. In the case of an incentive stock option granted to a person who at the time of such grant owns more than ten percent of the voting power of all classes of our outstanding stock, the term of the stock option shall be five years from the date of grant or such shorter term as may be provided in the applicable option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per share exercise price of options granted under our 2019 Plan will be a price determined by the administrator that is set forth in the applicable option agreement. In the case of incentive stock options granted to an employee who at the time of grant, owns more than ten percent of the voting power of all classes of our outstanding stock, the term of an incentive stock option granted to such participant must not exceed five years and the exercise price must equal at least one-hundred ten percent of the fair market value of our common stock on the grant date. In the case of nonstatutory stock options (i) if the options are granted on any date on which our common stock is not a security of ours that is listed or approved for listing on a national securities exchange or designated or approved for designation as a national market system security on an interdealer quotation system by the Financial Industry Regulatory Authority, Inc. (a Listed Security), the per share exercise price will be the price determined by the Administrator; or (ii) if the nonstatutory stock options are granted on any date on which the common stock is a Listed Security to any eligible person, the per share exercise price shall be a price determined by the administrator based on the closing price of our common stock for the applicable date. No nonstatutory stock option will be granted with a per share exercise price less than one-hundred percent of the fair market value on the date of grant unless the administrator explicitly designates such as a discounted option with terms intended to avoid additional taxes under Section 409A of the Code.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administrator determines the consideration to be paid for shares issued upon exercise of a stock option, including the methods of payment (in the case of incentive stock options this will be determined at the time of grant), which may include cash, check, delivery of a promissory note, other shares that have a fair market value on the date of surrender equal to the aggregate exercise price of the shares to which the stock option is exercised provided that in the case of shares provided directly or indirectly by us, the shares must have been owned for more than six months on the date of surrender; by net exercise or by a cashless exercise method, including a broker-assisted cashless exercise; any combination thereof; or any other consideration or method of payment acceptable to the administrator, to the extent permitted by applicable law.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administrator will establish in the applicable option agreement the terms and conditions in which a stock option will remain exercisable, if at all, following termination of a participant. Unless the administrator provides in the applicable option agreement, if an option holder does not exercise their stock option to the extent they are entitled to do so within the time specified in their option agreement, the stock option will terminate and the optioned stock underlying the unexercised portion of the stock option will revert to our 2019 Plan (unless our 2019 Plan has been terminated). If an employee, director or consultant is terminated other than for death, disability or for cause, the option holder may exercise their option for thirty days following their termination to the extent they are vested in the optioned stock (they may exercise their stock option for six months in the event of termination due to disability or death). If terminated for cause, a participant’s stock options will immediately terminate in their entirety.</w:t>
      </w:r>
    </w:p>
    <w:p>
      <w:pPr>
        <w:pStyle w:val="TextBody"/>
        <w:bidi w:val="0"/>
        <w:spacing w:lineRule="auto" w:line="288" w:before="0" w:after="240"/>
        <w:jc w:val="left"/>
        <w:rPr/>
      </w:pPr>
      <w:r>
        <w:rPr>
          <w:rFonts w:ascii="Trade Gothic;sans-serif" w:hAnsi="Trade Gothic;sans-serif"/>
          <w:b w:val="false"/>
          <w:i/>
          <w:color w:val="000000"/>
          <w:sz w:val="19"/>
        </w:rPr>
        <w:t>Non-Transferability of Awards</w:t>
      </w:r>
      <w:r>
        <w:rPr>
          <w:rFonts w:ascii="Trade Gothic;sans-serif" w:hAnsi="Trade Gothic;sans-serif"/>
          <w:b w:val="false"/>
          <w:color w:val="000000"/>
          <w:sz w:val="19"/>
        </w:rPr>
        <w:t>. Our 2019 Plan generally does not allow Awards to be sold, pledged, assigned, hypothecated, or otherwise transferred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w:t>
      </w:r>
    </w:p>
    <w:p>
      <w:pPr>
        <w:pStyle w:val="TextBody"/>
        <w:bidi w:val="0"/>
        <w:spacing w:lineRule="auto" w:line="288" w:before="0" w:after="240"/>
        <w:jc w:val="left"/>
        <w:rPr/>
      </w:pPr>
      <w:r>
        <w:rPr>
          <w:rFonts w:ascii="Trade Gothic;sans-serif" w:hAnsi="Trade Gothic;sans-serif"/>
          <w:b w:val="false"/>
          <w:i/>
          <w:color w:val="000000"/>
          <w:sz w:val="19"/>
        </w:rPr>
        <w:t>Certain Adjustments</w:t>
      </w:r>
      <w:r>
        <w:rPr>
          <w:rFonts w:ascii="Trade Gothic;sans-serif" w:hAnsi="Trade Gothic;sans-serif"/>
          <w:b w:val="false"/>
          <w:color w:val="000000"/>
          <w:sz w:val="19"/>
        </w:rPr>
        <w:t xml:space="preserve">. Subject to any action required under applicable law, in the event of a stock split, reverse stock split, stock dividend, combination, recapitalization or reclassification of our common stock, or other change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0335"/>
                <wp:effectExtent l="0" t="0" r="0" b="0"/>
                <wp:wrapNone/>
                <wp:docPr id="174" name="Frame15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129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corporate structure of the Company affecting our shares, in order to prevent diminution or enlargement of the benefits or potential benefits intended to be made available under the 2019 Plan, will adjust, a proportionate adjustment will be made in the number of shares covered by each outstanding Award, and the number of shares that have been authorized for issuance under the 2019 Plan but as to which no Awards have yet been granted or that have been returned to the 2019 Plan upon cancellation or expiration of an Award, as well as the price or exercise price per share covered by each such outstanding Award. The adjustment will be made by the administrator, whose determination will be final, binding and conclusive.</w:t>
      </w:r>
    </w:p>
    <w:p>
      <w:pPr>
        <w:pStyle w:val="TextBody"/>
        <w:bidi w:val="0"/>
        <w:spacing w:lineRule="auto" w:line="288" w:before="0" w:after="240"/>
        <w:jc w:val="left"/>
        <w:rPr/>
      </w:pPr>
      <w:r>
        <w:rPr>
          <w:rFonts w:ascii="Trade Gothic;sans-serif" w:hAnsi="Trade Gothic;sans-serif"/>
          <w:b w:val="false"/>
          <w:i/>
          <w:color w:val="000000"/>
          <w:sz w:val="19"/>
        </w:rPr>
        <w:t>Dissolution or Liquidation</w:t>
      </w:r>
      <w:r>
        <w:rPr>
          <w:rFonts w:ascii="Trade Gothic;sans-serif" w:hAnsi="Trade Gothic;sans-serif"/>
          <w:b w:val="false"/>
          <w:color w:val="000000"/>
          <w:sz w:val="19"/>
        </w:rPr>
        <w:t>. In the event of our liquidation or dissolution, each Award will terminate immediately prior to the consummation of such event.</w:t>
      </w:r>
    </w:p>
    <w:p>
      <w:pPr>
        <w:pStyle w:val="TextBody"/>
        <w:bidi w:val="0"/>
        <w:spacing w:lineRule="auto" w:line="288" w:before="0" w:after="240"/>
        <w:jc w:val="left"/>
        <w:rPr/>
      </w:pPr>
      <w:r>
        <w:rPr>
          <w:rFonts w:ascii="Trade Gothic;sans-serif" w:hAnsi="Trade Gothic;sans-serif"/>
          <w:b w:val="false"/>
          <w:i/>
          <w:color w:val="000000"/>
          <w:sz w:val="19"/>
        </w:rPr>
        <w:t>Merger or Change in Control</w:t>
      </w:r>
      <w:r>
        <w:rPr>
          <w:rFonts w:ascii="Trade Gothic;sans-serif" w:hAnsi="Trade Gothic;sans-serif"/>
          <w:b w:val="false"/>
          <w:color w:val="000000"/>
          <w:sz w:val="19"/>
        </w:rPr>
        <w:t>. Our 2019 Plan provides that in the event of a merger or change in control, as defined under our 2019 Plan, our board of directors or a committee appointed by our board of directors may provide for: (1) the assumption or substitution of, or adjustment to, each outstanding Award by the successor corporation or a parent or subsidiary of the successor corporation, (2) upon written notice, termination of the Awards upon or immediately prior to the consummation of such merger or change in control, (3) the acceleration in part or whole of the right to exercise a stock option or the vesting of any Award, and, to the extent the administrator determines, the termination of the Award upon or immediately prior to the effectiveness of such merger or change in control; (4) termination of Awards in exchange for an amount of cash and/or property, if any, equal to the amount that would have been attained upon the exercise of such Award or realization of the participant’s rights as of the date of the occurrence of such merger or change in control, (5) the replacement of an Award with other rights or property selected by the administrator in its sole discretion, or (6) any combination of the foregoing.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event that the successor corporation does not assume or substitute for the Award, the participate will fully vest in and have the right to exercise all of his or her outstanding Awards (and with respect to Awards with performance-based vesting, all performance goals or other vesting criteria will be deemed achieved at 100% of target levels and all other terms and conditions met). Notwithstanding the foregoing, an Award that vests, is earned, or paid-out upon the satisfaction of one or more performance goals will not be considered assumed if the Company or its successor modifies any such performance goals without the participant’s consent; provided, however, a modification to such performance goals only to reflect the successor corporation’s post-change in control corporate structure won’t be deemed to invalidate an otherwise valid Award assumption.</w:t>
      </w:r>
    </w:p>
    <w:p>
      <w:pPr>
        <w:pStyle w:val="TextBody"/>
        <w:bidi w:val="0"/>
        <w:spacing w:lineRule="auto" w:line="288" w:before="0" w:after="240"/>
        <w:jc w:val="left"/>
        <w:rPr/>
      </w:pPr>
      <w:r>
        <w:rPr>
          <w:rFonts w:ascii="Trade Gothic;sans-serif" w:hAnsi="Trade Gothic;sans-serif"/>
          <w:b w:val="false"/>
          <w:i/>
          <w:color w:val="000000"/>
          <w:sz w:val="19"/>
        </w:rPr>
        <w:t>Amendment and Termination</w:t>
      </w:r>
      <w:r>
        <w:rPr>
          <w:rFonts w:ascii="Trade Gothic;sans-serif" w:hAnsi="Trade Gothic;sans-serif"/>
          <w:b w:val="false"/>
          <w:color w:val="000000"/>
          <w:sz w:val="19"/>
        </w:rPr>
        <w:t>. The board of directors may at any time amend, alter, suspend or terminate our 2019 Plan, provided we will obtain stockholder approval of any amendment to the extent necessary or desirable to comply with applicable laws. However, no amendment, alteration, suspension or termination of our 2019 Plan or an Award under it will impair the rights of any participant, unless mutually agreed otherwise between the participant and the administrator, which agreement must be in writing and signed by the participant and the Company. Our 2019 Plan will continue in effect for a term of ten years from the later of (i) the effective date of the 2019 Plan, or (ii) the earlier of the most recent approval by the board of directors or stockholders of an increase in the number of shares reserved for issuance under the 2019 Plan.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2026 Equity Incentive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board of directors adopted, and our stockholders approved, our 2026 Plan. The 2026 Plan became effective on February 4, 2026. Our 2026 Plan provides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awards, or other stock awards to our employees, directors, and consultants and our subsidiary corporations’ employees and consultants.</w:t>
      </w:r>
    </w:p>
    <w:p>
      <w:pPr>
        <w:pStyle w:val="TextBody"/>
        <w:bidi w:val="0"/>
        <w:spacing w:lineRule="auto" w:line="288" w:before="0" w:after="240"/>
        <w:jc w:val="left"/>
        <w:rPr/>
      </w:pPr>
      <w:r>
        <w:rPr>
          <w:rFonts w:ascii="Trade Gothic;sans-serif" w:hAnsi="Trade Gothic;sans-serif"/>
          <w:b w:val="false"/>
          <w:i/>
          <w:color w:val="000000"/>
          <w:sz w:val="19"/>
        </w:rPr>
        <w:t>Authorized Shares</w:t>
      </w:r>
      <w:r>
        <w:rPr>
          <w:rFonts w:ascii="Trade Gothic;sans-serif" w:hAnsi="Trade Gothic;sans-serif"/>
          <w:b w:val="false"/>
          <w:color w:val="000000"/>
          <w:sz w:val="19"/>
        </w:rPr>
        <w:t>. A total of 4,116,060 shares of our common stock are reserved for issuance pursuant to our 2026 Plan. In addition, the shares reserved for issuance under our 2026 Plan will also include shares of our common stock subject to or issued pursuant to awards granted under our 2019 Plan that, after the date of stockholder approval of the 2026 Plan, expire or otherwise terminate without having been exercised in full or are forfeited to or repurchased by us due to failure to vest (provided that the maximum number of shares that may be added to the 2026 Plan pursuant to the foregoing is 3,306,187 shares). The number of shares available for issuance under our 2026 Plan will also include an annual increase on the first day of each fiscal year for a period of ten years, beginning with our 2027 fiscal year, equal to the least of:</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10,027,967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0335"/>
                <wp:effectExtent l="0" t="0" r="0" b="0"/>
                <wp:wrapNone/>
                <wp:docPr id="175" name="Frame16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five percent (5%) of the total number of shares of all classes of common stock outstanding as of the last day of the immediately preceding fiscal year; or</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such other amounts as the administrator of the 2026 Plan may determine.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Shares issuable under our 2026 Plan will be authorized, but unissued, or reacquired shares of our common stock. If an award or any portion thereof (i) expires or otherwise terminates without all of the shares covered by such award having been issued, including pursuant to an exchange program or (ii) is settled in cash, such expiration, termination or settlement will not reduce (or otherwise offset) the number of shares that may be available for issuance under the 2026 Plan and the unissued shares subject to such award will be available for future issuance under the 2026 Plan. If any shares issued pursuant to an award are reacquired or repurchased by us because of the failure to meet a contingency or condition required to vest, or are otherwise forfeited to us, then the shares that are repurchased, reacquired or forfeited will revert to and again become available for issuance under the 2026 Plan. Any shares reacquired or withheld by the Company in satisfaction of tax withholding obligations on an award or as consideration for the exercise or purchase price of an award will again become available for issuance under the 2026 Plan.</w:t>
      </w:r>
    </w:p>
    <w:p>
      <w:pPr>
        <w:pStyle w:val="TextBody"/>
        <w:bidi w:val="0"/>
        <w:spacing w:lineRule="auto" w:line="288" w:before="0" w:after="240"/>
        <w:jc w:val="left"/>
        <w:rPr/>
      </w:pPr>
      <w:r>
        <w:rPr>
          <w:rFonts w:ascii="Trade Gothic;sans-serif" w:hAnsi="Trade Gothic;sans-serif"/>
          <w:b w:val="false"/>
          <w:i/>
          <w:color w:val="000000"/>
          <w:sz w:val="19"/>
        </w:rPr>
        <w:t>Plan Administration</w:t>
      </w:r>
      <w:r>
        <w:rPr>
          <w:rFonts w:ascii="Trade Gothic;sans-serif" w:hAnsi="Trade Gothic;sans-serif"/>
          <w:b w:val="false"/>
          <w:color w:val="000000"/>
          <w:sz w:val="19"/>
        </w:rPr>
        <w:t>. The compensation committee of our board of directors administers our 2026 Plan. In addition, if we determine it is desirable to qualify transactions under our 2026 Plan as exempt under Rule 16b-3 of the Exchange Act, such transactions will be structured to satisfy the requirements for exemption under Rule 16b-3. Subject to the provisions of our 2026 Plan, the administrator has the power to administer our 2026 Plan and make all determinations deemed necessary or advisable for administering the 2026 Plan, including but not limited to, the power to determine the fair market value of our common stock, select the service providers to whom awards may be granted, determine the number of shares covered by each award, approve forms of award agreements for use under the 2026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2026 Plan and awards granted under it, prescribe, amend and rescind rules relating to our 2026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 and given the maximum deference permitted by applicable law.</w:t>
      </w:r>
    </w:p>
    <w:p>
      <w:pPr>
        <w:pStyle w:val="TextBody"/>
        <w:bidi w:val="0"/>
        <w:spacing w:lineRule="auto" w:line="288" w:before="0" w:after="240"/>
        <w:jc w:val="left"/>
        <w:rPr/>
      </w:pPr>
      <w:r>
        <w:rPr>
          <w:rFonts w:ascii="Trade Gothic;sans-serif" w:hAnsi="Trade Gothic;sans-serif"/>
          <w:b w:val="false"/>
          <w:i/>
          <w:color w:val="000000"/>
          <w:sz w:val="19"/>
        </w:rPr>
        <w:t>Stock Options</w:t>
      </w:r>
      <w:r>
        <w:rPr>
          <w:rFonts w:ascii="Trade Gothic;sans-serif" w:hAnsi="Trade Gothic;sans-serif"/>
          <w:b w:val="false"/>
          <w:color w:val="000000"/>
          <w:sz w:val="19"/>
        </w:rPr>
        <w:t>. Both incentive stock options and non-statutory stock options may be granted under our 2026 Plan. The exercise price of options granted under our 2026 Plan 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following the termination of service. In all other cases, in the absence of a specified time in an award agreement, the option will remain exercisable for 30 days following the termination of service. An option, however, may not be exercised later than the expiration of its term. Subject to the provisions of our 2026 Plan, the administrator will determine the other terms of options.</w:t>
      </w:r>
    </w:p>
    <w:p>
      <w:pPr>
        <w:pStyle w:val="TextBody"/>
        <w:bidi w:val="0"/>
        <w:spacing w:lineRule="auto" w:line="288" w:before="0" w:after="240"/>
        <w:jc w:val="left"/>
        <w:rPr/>
      </w:pPr>
      <w:r>
        <w:rPr>
          <w:rFonts w:ascii="Trade Gothic;sans-serif" w:hAnsi="Trade Gothic;sans-serif"/>
          <w:b w:val="false"/>
          <w:i/>
          <w:color w:val="000000"/>
          <w:sz w:val="19"/>
        </w:rPr>
        <w:t>Stock Appreciation Rights</w:t>
      </w:r>
      <w:r>
        <w:rPr>
          <w:rFonts w:ascii="Trade Gothic;sans-serif" w:hAnsi="Trade Gothic;sans-serif"/>
          <w:b w:val="false"/>
          <w:color w:val="000000"/>
          <w:sz w:val="19"/>
        </w:rPr>
        <w:t xml:space="preserve">. Stock appreciation rights may be granted under our 2026 Plan. Stock appreciation rights allow the 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following the termination of service. In all other cases, in the absence of a specified time in an award agreement, the stock appreciation rights will remain exercisable for 30 days following the termination of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0335"/>
                <wp:effectExtent l="0" t="0" r="0" b="0"/>
                <wp:wrapNone/>
                <wp:docPr id="176" name="Frame16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However, in no event may a stock appreciation right be exercised later than the expiration of its term. Subject to the provisions of our 2026 Plan, the administrator will determine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pStyle w:val="TextBody"/>
        <w:bidi w:val="0"/>
        <w:spacing w:lineRule="auto" w:line="288" w:before="0" w:after="240"/>
        <w:jc w:val="left"/>
        <w:rPr/>
      </w:pPr>
      <w:r>
        <w:rPr>
          <w:rFonts w:ascii="Trade Gothic;sans-serif" w:hAnsi="Trade Gothic;sans-serif"/>
          <w:b w:val="false"/>
          <w:i/>
          <w:color w:val="000000"/>
          <w:sz w:val="19"/>
        </w:rPr>
        <w:t>Restricted Stock</w:t>
      </w:r>
      <w:r>
        <w:rPr>
          <w:rFonts w:ascii="Trade Gothic;sans-serif" w:hAnsi="Trade Gothic;sans-serif"/>
          <w:b w:val="false"/>
          <w:color w:val="000000"/>
          <w:sz w:val="19"/>
        </w:rPr>
        <w:t>. Restricted stock may be granted under our 2026 Plan. Restricted stock awards are grants of shares of our common stock that vest in accordance with terms and conditions established by the administrator. The administrator will determine the number of shares of restricted stock granted to any employee, director, or consultant and, subject to the provisions of our 2026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rights with respect to such shares upon grant without regard to vesting, unless the administrator provides otherwise. Recipients of restricted stock awards generally will not be entitled to receive dividends and other distributions paid with respect to such shares while such shares are unvested, unless the administrator provides otherwise. Shares of restricted stock that do not vest are subject to our right of repurchase or forfeiture.</w:t>
      </w:r>
    </w:p>
    <w:p>
      <w:pPr>
        <w:pStyle w:val="TextBody"/>
        <w:bidi w:val="0"/>
        <w:spacing w:lineRule="auto" w:line="288" w:before="0" w:after="240"/>
        <w:jc w:val="left"/>
        <w:rPr/>
      </w:pPr>
      <w:r>
        <w:rPr>
          <w:rFonts w:ascii="Trade Gothic;sans-serif" w:hAnsi="Trade Gothic;sans-serif"/>
          <w:b w:val="false"/>
          <w:i/>
          <w:color w:val="000000"/>
          <w:sz w:val="19"/>
        </w:rPr>
        <w:t>Restricted Stock Units</w:t>
      </w:r>
      <w:r>
        <w:rPr>
          <w:rFonts w:ascii="Trade Gothic;sans-serif" w:hAnsi="Trade Gothic;sans-serif"/>
          <w:b w:val="false"/>
          <w:color w:val="000000"/>
          <w:sz w:val="19"/>
        </w:rPr>
        <w:t>. Restricted stock units may be granted under our 2026 Plan. Restricted stock units are bookkeeping entries representing an amount equal to the fair market value of one share of our common stock. Subject to the provisions of our 2026 Plan, the administrator will determine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pStyle w:val="TextBody"/>
        <w:bidi w:val="0"/>
        <w:spacing w:lineRule="auto" w:line="288" w:before="0" w:after="240"/>
        <w:jc w:val="left"/>
        <w:rPr/>
      </w:pPr>
      <w:r>
        <w:rPr>
          <w:rFonts w:ascii="Trade Gothic;sans-serif" w:hAnsi="Trade Gothic;sans-serif"/>
          <w:b w:val="false"/>
          <w:i/>
          <w:color w:val="000000"/>
          <w:sz w:val="19"/>
        </w:rPr>
        <w:t>Performance Awards</w:t>
      </w:r>
      <w:r>
        <w:rPr>
          <w:rFonts w:ascii="Trade Gothic;sans-serif" w:hAnsi="Trade Gothic;sans-serif"/>
          <w:b w:val="false"/>
          <w:color w:val="000000"/>
          <w:sz w:val="19"/>
        </w:rPr>
        <w:t>. Performance awards may be granted under the 2026 Plan. Performance awards are awards that may be earned in whole or in part upon the attainment of performance goals or other vesting criteria that the administrator may determine, and that may be denominated in cash or stock. Subject to the terms and conditions of the 2026 Plan, the administrator will determine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pStyle w:val="TextBody"/>
        <w:bidi w:val="0"/>
        <w:spacing w:lineRule="auto" w:line="288" w:before="0" w:after="240"/>
        <w:jc w:val="left"/>
        <w:rPr/>
      </w:pPr>
      <w:r>
        <w:rPr>
          <w:rFonts w:ascii="Trade Gothic;sans-serif" w:hAnsi="Trade Gothic;sans-serif"/>
          <w:b w:val="false"/>
          <w:i/>
          <w:color w:val="000000"/>
          <w:sz w:val="19"/>
        </w:rPr>
        <w:t>Other Stock Awards</w:t>
      </w:r>
      <w:r>
        <w:rPr>
          <w:rFonts w:ascii="Trade Gothic;sans-serif" w:hAnsi="Trade Gothic;sans-serif"/>
          <w:b w:val="false"/>
          <w:color w:val="000000"/>
          <w:sz w:val="19"/>
        </w:rPr>
        <w:t>. Other stock awards may be granted under the 2026 Plan. Other stock awards are awards valued in whole or in part by reference to, or otherwise based on, shares, including the appreciation in value thereof. Subject to the terms and conditions of the 2026 Plan, the administrator will have the authority to determine the terms and conditions of such other stock awards in its sole discretion.</w:t>
      </w:r>
    </w:p>
    <w:p>
      <w:pPr>
        <w:pStyle w:val="TextBody"/>
        <w:bidi w:val="0"/>
        <w:spacing w:lineRule="auto" w:line="288" w:before="0" w:after="240"/>
        <w:jc w:val="left"/>
        <w:rPr/>
      </w:pPr>
      <w:r>
        <w:rPr>
          <w:rFonts w:ascii="Trade Gothic;sans-serif" w:hAnsi="Trade Gothic;sans-serif"/>
          <w:b w:val="false"/>
          <w:i/>
          <w:color w:val="000000"/>
          <w:sz w:val="19"/>
        </w:rPr>
        <w:t>Outside Directors</w:t>
      </w:r>
      <w:r>
        <w:rPr>
          <w:rFonts w:ascii="Trade Gothic;sans-serif" w:hAnsi="Trade Gothic;sans-serif"/>
          <w:b w:val="false"/>
          <w:color w:val="000000"/>
          <w:sz w:val="19"/>
        </w:rPr>
        <w:t>. All outside (non-employee) directors will be eligible to receive all types of awards (except for incentive stock options) under our 2026 Plan. To provide a maximum limit on the cash compensation and equity awards that can be made to our outside directors, our 2026 Plan provides that beginning with the first fiscal year that commences following the completion of our IPO, an outside director will not be granted cash compensation and equity awards with an aggregate value greater than $750,000, increased to $1,000,000 for the first fiscal year in which such outside director is first appointed or elected to the board, in each case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 This maximum limit provision does not reflect the intended size of any potential grants or a commitment to make grants to our outside directors under our 2026 Plan in the future.</w:t>
      </w:r>
    </w:p>
    <w:p>
      <w:pPr>
        <w:pStyle w:val="TextBody"/>
        <w:bidi w:val="0"/>
        <w:spacing w:lineRule="auto" w:line="288" w:before="0" w:after="240"/>
        <w:jc w:val="left"/>
        <w:rPr/>
      </w:pPr>
      <w:r>
        <w:rPr>
          <w:rFonts w:ascii="Trade Gothic;sans-serif" w:hAnsi="Trade Gothic;sans-serif"/>
          <w:b w:val="false"/>
          <w:i/>
          <w:color w:val="000000"/>
          <w:sz w:val="19"/>
        </w:rPr>
        <w:t>Non-Transferability of Awards</w:t>
      </w:r>
      <w:r>
        <w:rPr>
          <w:rFonts w:ascii="Trade Gothic;sans-serif" w:hAnsi="Trade Gothic;sans-serif"/>
          <w:b w:val="false"/>
          <w:color w:val="000000"/>
          <w:sz w:val="19"/>
        </w:rPr>
        <w:t>. Unless the administrator provides otherwise, our 2026 Plan generally does not allow for the transfer of awards and only the recipient of an award may exercise an award during his or her lifetime. If the administrator makes an award transferable, such award will contain such additional terms and conditions as the administrator deems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0335"/>
                <wp:effectExtent l="0" t="0" r="0" b="0"/>
                <wp:wrapNone/>
                <wp:docPr id="177" name="Frame16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i/>
          <w:color w:val="000000"/>
          <w:sz w:val="19"/>
        </w:rPr>
        <w:t>Certain Adjustments</w:t>
      </w:r>
      <w:r>
        <w:rPr>
          <w:rFonts w:ascii="Trade Gothic;sans-serif" w:hAnsi="Trade Gothic;sans-serif"/>
          <w:b w:val="false"/>
          <w:color w:val="000000"/>
          <w:sz w:val="19"/>
        </w:rPr>
        <w:t>. In the event of certain changes in our capitalization, such as a dividend or other distribution, recapitalization, stock split reverse stock split, reorganization, merger, consolidation, split-up, spin-off, combination, reclassification, repurchase or exchange of our shares or other change in our corporate structure affecting our shares (other than ordinary dividends or other ordinary distributions), in order to prevent diminution or enlargement of the benefits or potential benefits available under our 2026 Plan, the administrator will adjust the number and class of shares that may be delivered under our 2026 Plan and/or the number, class, and price of shares covered by each outstanding award and any numerical share limits set forth in our 2026 Plan.</w:t>
      </w:r>
    </w:p>
    <w:p>
      <w:pPr>
        <w:pStyle w:val="TextBody"/>
        <w:bidi w:val="0"/>
        <w:spacing w:lineRule="auto" w:line="288" w:before="0" w:after="240"/>
        <w:jc w:val="left"/>
        <w:rPr/>
      </w:pPr>
      <w:r>
        <w:rPr>
          <w:rFonts w:ascii="Trade Gothic;sans-serif" w:hAnsi="Trade Gothic;sans-serif"/>
          <w:b w:val="false"/>
          <w:i/>
          <w:color w:val="000000"/>
          <w:sz w:val="19"/>
        </w:rPr>
        <w:t>Dissolution or Liquidation</w:t>
      </w:r>
      <w:r>
        <w:rPr>
          <w:rFonts w:ascii="Trade Gothic;sans-serif" w:hAnsi="Trade Gothic;sans-serif"/>
          <w:b w:val="false"/>
          <w:color w:val="000000"/>
          <w:sz w:val="19"/>
        </w:rPr>
        <w:t>. In the event of our proposed liquidation or dissolution, the administrator will notify participants as soon as practicable and, to the extent not exercised, all awards will terminate immediately prior to the consummation of such proposed transaction.</w:t>
      </w:r>
    </w:p>
    <w:p>
      <w:pPr>
        <w:pStyle w:val="TextBody"/>
        <w:bidi w:val="0"/>
        <w:spacing w:lineRule="auto" w:line="288" w:before="0" w:after="240"/>
        <w:jc w:val="left"/>
        <w:rPr/>
      </w:pPr>
      <w:r>
        <w:rPr>
          <w:rFonts w:ascii="Trade Gothic;sans-serif" w:hAnsi="Trade Gothic;sans-serif"/>
          <w:b w:val="false"/>
          <w:i/>
          <w:color w:val="000000"/>
          <w:sz w:val="19"/>
        </w:rPr>
        <w:t>Merger or Change in Control</w:t>
      </w:r>
      <w:r>
        <w:rPr>
          <w:rFonts w:ascii="Trade Gothic;sans-serif" w:hAnsi="Trade Gothic;sans-serif"/>
          <w:b w:val="false"/>
          <w:color w:val="000000"/>
          <w:sz w:val="19"/>
        </w:rPr>
        <w:t>. Our 2026 Plan provides that in the event of a merger or change in control, as defined under our 2026 Plan, each outstanding award will be treated as the administrator determines, without a participant’s consent. The administrator is not required to treat all awards, all awards held by a participant or all awards of the same type similarly.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a successor corporation or its parent or subsidiary does not continue an outstanding award, then vesting of such award (and, with respect to outstanding options and stock appreciation rights, the time when such award may be exercised) will be accelerated in full and all restrictions on such outstanding award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merger or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awards granted to an outside director, in the event of a change in control, the vesting of such awards (and, with respect to outstanding options and stock appreciation rights, the time when such award may be exercised) will be accelerated in full, and all restrictions on such outstanding awards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pStyle w:val="TextBody"/>
        <w:bidi w:val="0"/>
        <w:spacing w:lineRule="auto" w:line="288" w:before="0" w:after="240"/>
        <w:jc w:val="left"/>
        <w:rPr/>
      </w:pPr>
      <w:r>
        <w:rPr>
          <w:rFonts w:ascii="Trade Gothic;sans-serif" w:hAnsi="Trade Gothic;sans-serif"/>
          <w:b w:val="false"/>
          <w:i/>
          <w:color w:val="000000"/>
          <w:sz w:val="19"/>
        </w:rPr>
        <w:t>Clawback</w:t>
      </w:r>
      <w:r>
        <w:rPr>
          <w:rFonts w:ascii="Trade Gothic;sans-serif" w:hAnsi="Trade Gothic;sans-serif"/>
          <w:b w:val="false"/>
          <w:color w:val="000000"/>
          <w:sz w:val="19"/>
        </w:rPr>
        <w:t>. Awards will be subject to any clawback policy that we are required to adopt pursuant to the listing standards of any national securities exchange or association on which our stock is listed or as otherwise required by applicable laws, and the administrator also may specify in an award agreement that the 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pStyle w:val="TextBody"/>
        <w:bidi w:val="0"/>
        <w:spacing w:lineRule="auto" w:line="288" w:before="0" w:after="240"/>
        <w:jc w:val="left"/>
        <w:rPr/>
      </w:pPr>
      <w:r>
        <w:rPr>
          <w:rFonts w:ascii="Trade Gothic;sans-serif" w:hAnsi="Trade Gothic;sans-serif"/>
          <w:b w:val="false"/>
          <w:i/>
          <w:color w:val="000000"/>
          <w:sz w:val="19"/>
        </w:rPr>
        <w:t>Amendment; Termination</w:t>
      </w:r>
      <w:r>
        <w:rPr>
          <w:rFonts w:ascii="Trade Gothic;sans-serif" w:hAnsi="Trade Gothic;sans-serif"/>
          <w:b w:val="false"/>
          <w:color w:val="000000"/>
          <w:sz w:val="19"/>
        </w:rPr>
        <w:t>. The administrator has the authority to amend, alter, suspend or terminate our 2026 Plan, provided such action does not materially impair the rights of any participant. No incentive stock options may be granted after 10 years from the date our board of directors adopted the 2026 Plan.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2026 Employee Stock Purchase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board of directors adopted, and our stockholders approved, the ESPP. Our ESPP became effective on February 4, 2026. However, no offering period or purchase period under the ESPP will begin unless and until otherwise determined by our board of directors.</w:t>
      </w:r>
    </w:p>
    <w:p>
      <w:pPr>
        <w:pStyle w:val="TextBody"/>
        <w:bidi w:val="0"/>
        <w:spacing w:lineRule="auto" w:line="288" w:before="0" w:after="240"/>
        <w:jc w:val="left"/>
        <w:rPr/>
      </w:pPr>
      <w:r>
        <w:rPr>
          <w:rFonts w:ascii="Trade Gothic;sans-serif" w:hAnsi="Trade Gothic;sans-serif"/>
          <w:b w:val="false"/>
          <w:i/>
          <w:color w:val="000000"/>
          <w:sz w:val="19"/>
        </w:rPr>
        <w:t>Authorized Shares</w:t>
      </w:r>
      <w:r>
        <w:rPr>
          <w:rFonts w:ascii="Trade Gothic;sans-serif" w:hAnsi="Trade Gothic;sans-serif"/>
          <w:b w:val="false"/>
          <w:color w:val="000000"/>
          <w:sz w:val="19"/>
        </w:rPr>
        <w:t>. A total of 334,266 shares of our common stock are available for sale under our ESPP. The number of shares of our common stock that will be available for sale under our ESPP also includes an annual increase on the first day of each fiscal year for a period of ten years beginning with our fiscal year 2027, equal to the least of:</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1,002,797 shares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one percent (1%) of the outstanding shares of our capital stock as of the last day of the immediately preceding fiscal year;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0335"/>
                <wp:effectExtent l="0" t="0" r="0" b="0"/>
                <wp:wrapNone/>
                <wp:docPr id="178" name="Frame16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such other amounts as the administrator of the ESPP may determine. </w:t>
      </w:r>
    </w:p>
    <w:p>
      <w:pPr>
        <w:pStyle w:val="TextBody"/>
        <w:bidi w:val="0"/>
        <w:spacing w:lineRule="auto" w:line="288" w:before="0" w:after="240"/>
        <w:jc w:val="left"/>
        <w:rPr/>
      </w:pPr>
      <w:r>
        <w:rPr>
          <w:rFonts w:ascii="Trade Gothic;sans-serif" w:hAnsi="Trade Gothic;sans-serif"/>
          <w:b w:val="false"/>
          <w:i/>
          <w:color w:val="000000"/>
          <w:sz w:val="19"/>
        </w:rPr>
        <w:t>ESPP Administration</w:t>
      </w:r>
      <w:r>
        <w:rPr>
          <w:rFonts w:ascii="Trade Gothic;sans-serif" w:hAnsi="Trade Gothic;sans-serif"/>
          <w:b w:val="false"/>
          <w:color w:val="000000"/>
          <w:sz w:val="19"/>
        </w:rPr>
        <w:t>. The compensation committee of our board of directors administers our ESPP and has full and 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pStyle w:val="TextBody"/>
        <w:bidi w:val="0"/>
        <w:spacing w:lineRule="auto" w:line="288" w:before="0" w:after="240"/>
        <w:jc w:val="left"/>
        <w:rPr/>
      </w:pPr>
      <w:r>
        <w:rPr>
          <w:rFonts w:ascii="Trade Gothic;sans-serif" w:hAnsi="Trade Gothic;sans-serif"/>
          <w:b w:val="false"/>
          <w:i/>
          <w:color w:val="000000"/>
          <w:sz w:val="19"/>
        </w:rPr>
        <w:t>Eligibility</w:t>
      </w:r>
      <w:r>
        <w:rPr>
          <w:rFonts w:ascii="Trade Gothic;sans-serif" w:hAnsi="Trade Gothic;sans-serif"/>
          <w:b w:val="false"/>
          <w:color w:val="000000"/>
          <w:sz w:val="19"/>
        </w:rPr>
        <w:t>. Generally, all of our employees are eligible to participate in the ESPP if they are 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However, an employee may not be granted rights to purchase shares of our common stock under our ESPP if such employee: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immediately after the grant would own capital stock and/or hold outstanding options to purchase such stock possessing 5% or more of the total combined voting power or value of all classes of capital stock of ours or of any parent or subsidiary of ours; or</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pStyle w:val="TextBody"/>
        <w:bidi w:val="0"/>
        <w:spacing w:lineRule="auto" w:line="288" w:before="0" w:after="240"/>
        <w:jc w:val="left"/>
        <w:rPr/>
      </w:pPr>
      <w:r>
        <w:rPr>
          <w:rFonts w:ascii="Trade Gothic;sans-serif" w:hAnsi="Trade Gothic;sans-serif"/>
          <w:b w:val="false"/>
          <w:i/>
          <w:color w:val="000000"/>
          <w:sz w:val="19"/>
        </w:rPr>
        <w:t>Offering Periods and Purchase Periods</w:t>
      </w:r>
      <w:r>
        <w:rPr>
          <w:rFonts w:ascii="Trade Gothic;sans-serif" w:hAnsi="Trade Gothic;sans-serif"/>
          <w:b w:val="false"/>
          <w:color w:val="000000"/>
          <w:sz w:val="19"/>
        </w:rPr>
        <w:t>. Our ESPP includes a component (the 423 Component), that is intended to qualify as an “employee stock purchase plan” under Code Section 423, and a component that does not comply with Code Section 423 (the Non-423 Component). For purposes of this summary, a reference to our ESPP generally will mean the terms and operations of the 423 Component. Our ESPP will provide for certain periods during which shares of common stock may be purchased under the ESPP as determined by the administrator in its discretion and on a uniform and nondiscriminatory basis.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Unless otherwise determined by the administrator, a purchase period will have the same duration as the offering period.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pStyle w:val="TextBody"/>
        <w:bidi w:val="0"/>
        <w:spacing w:lineRule="auto" w:line="288" w:before="0" w:after="240"/>
        <w:jc w:val="left"/>
        <w:rPr/>
      </w:pPr>
      <w:r>
        <w:rPr>
          <w:rFonts w:ascii="Trade Gothic;sans-serif" w:hAnsi="Trade Gothic;sans-serif"/>
          <w:b w:val="false"/>
          <w:i/>
          <w:color w:val="000000"/>
          <w:sz w:val="19"/>
        </w:rPr>
        <w:t>Contributions</w:t>
      </w:r>
      <w:r>
        <w:rPr>
          <w:rFonts w:ascii="Trade Gothic;sans-serif" w:hAnsi="Trade Gothic;sans-serif"/>
          <w:b w:val="false"/>
          <w:color w:val="000000"/>
          <w:sz w:val="19"/>
        </w:rPr>
        <w:t>. Our ESPP permits participants to purchase shares of our common stock through contributions (in the form of payroll deductions or otherwise to the extent permitted by the administrator) of up to 15% of their eligible compensation. A participant may purchase a maximum number of shares of our common stock during a purchase period as determined by the administrator.</w:t>
      </w:r>
    </w:p>
    <w:p>
      <w:pPr>
        <w:pStyle w:val="TextBody"/>
        <w:bidi w:val="0"/>
        <w:spacing w:lineRule="auto" w:line="288" w:before="0" w:after="240"/>
        <w:jc w:val="left"/>
        <w:rPr/>
      </w:pPr>
      <w:r>
        <w:rPr>
          <w:rFonts w:ascii="Trade Gothic;sans-serif" w:hAnsi="Trade Gothic;sans-serif"/>
          <w:b w:val="false"/>
          <w:i/>
          <w:color w:val="000000"/>
          <w:sz w:val="19"/>
        </w:rPr>
        <w:t>Exercise of Purchase Right</w:t>
      </w:r>
      <w:r>
        <w:rPr>
          <w:rFonts w:ascii="Trade Gothic;sans-serif" w:hAnsi="Trade Gothic;sans-serif"/>
          <w:b w:val="false"/>
          <w:color w:val="000000"/>
          <w:sz w:val="19"/>
        </w:rPr>
        <w:t>. If our board of directors authorizes an offering and purchase period under the ESPP, amounts contributed and accumulated by the participant during any offering period will be used to purchase shares of our common stock at the end of each purchase period. The purchase price of the shares will be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0335"/>
                <wp:effectExtent l="0" t="0" r="0" b="0"/>
                <wp:wrapNone/>
                <wp:docPr id="179" name="Frame16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i/>
          <w:color w:val="000000"/>
          <w:sz w:val="19"/>
        </w:rPr>
        <w:t>Non-Transferability</w:t>
      </w:r>
      <w:r>
        <w:rPr>
          <w:rFonts w:ascii="Trade Gothic;sans-serif" w:hAnsi="Trade Gothic;sans-serif"/>
          <w:b w:val="false"/>
          <w:color w:val="000000"/>
          <w:sz w:val="19"/>
        </w:rPr>
        <w:t>. A participant may not transfer rights granted under our ESPP (other than by will, the laws of descent and distribution or as otherwise provided under our ESPP).</w:t>
      </w:r>
    </w:p>
    <w:p>
      <w:pPr>
        <w:pStyle w:val="TextBody"/>
        <w:bidi w:val="0"/>
        <w:spacing w:lineRule="auto" w:line="288" w:before="0" w:after="240"/>
        <w:jc w:val="left"/>
        <w:rPr/>
      </w:pPr>
      <w:r>
        <w:rPr>
          <w:rFonts w:ascii="Trade Gothic;sans-serif" w:hAnsi="Trade Gothic;sans-serif"/>
          <w:b w:val="false"/>
          <w:i/>
          <w:color w:val="000000"/>
          <w:sz w:val="19"/>
        </w:rPr>
        <w:t>Merger or Change in Control</w:t>
      </w:r>
      <w:r>
        <w:rPr>
          <w:rFonts w:ascii="Trade Gothic;sans-serif" w:hAnsi="Trade Gothic;sans-serif"/>
          <w:b w:val="false"/>
          <w:color w:val="000000"/>
          <w:sz w:val="19"/>
        </w:rPr>
        <w:t>. Our ESPP provides that in the event of a merger or change in control, as defined under our ESPP, a successor 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pStyle w:val="TextBody"/>
        <w:bidi w:val="0"/>
        <w:spacing w:lineRule="auto" w:line="288" w:before="0" w:after="240"/>
        <w:jc w:val="left"/>
        <w:rPr/>
      </w:pPr>
      <w:r>
        <w:rPr>
          <w:rFonts w:ascii="Trade Gothic;sans-serif" w:hAnsi="Trade Gothic;sans-serif"/>
          <w:b w:val="false"/>
          <w:i/>
          <w:color w:val="000000"/>
          <w:sz w:val="19"/>
        </w:rPr>
        <w:t>Amendment; Termination</w:t>
      </w:r>
      <w:r>
        <w:rPr>
          <w:rFonts w:ascii="Trade Gothic;sans-serif" w:hAnsi="Trade Gothic;sans-serif"/>
          <w:b w:val="false"/>
          <w:color w:val="000000"/>
          <w:sz w:val="19"/>
        </w:rPr>
        <w:t>. The administrator has the authority to amend, suspend or terminate our ESPP. Our ESPP automatically will terminate in 2046, unless we terminate it sooner.</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Employee Incentive Compensation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adopted an employee incentive compensation plan (the Incentive Compensation Plan) in connection with our IPO. Our board of directors or a committee appointed by our board of directors will administer the Incentive Compensation Plan, provided that unless and until the board of directors determines otherwise, the compensation committee will administer the Incentive Compensation Plan. The Incentive Compensation Plan allows the administrator to provide awards to employees selected for participation, which may include certain of our named executive officers, and which awards may be based upon performance goals established by the administrator. The administrator may establish a target award for each participant under the Incentive Compensation Plan, which may be expressed as a percentage of the participant’s average annual base salary for the applicable performance period, a fixed dollar amount, or such other amount or based on such other formula or factors as the administrator determines to be appropriate.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Incentive Compensation Plan, the administrator determines the performance goals, if any, applicable to any target award (or portion thereof) for a performance period,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or product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As determined by the administrator, the performance goals may be based on GAAP or non-GAAP results and any actual results may be adjusted by the administrator for one-time items or unbudgeted or unexpected items and/or payments of awards under the Incentive Compensation Plan when determining whether the performance goals have been met. The performance goals may be based on any factors the administrator determines relevant, including without limitation on an individual, divisional, portfolio, project, business unit, segment or company-wide basis. The performance goals may differ from participant to participant and from award to award.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administrator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administrator’s discretion. The administrator may determine the amount of any increase, reduction or elimination on the basis of such factors as it deems relevant, and it is not required to establish any allocation or weighting with respect to the factors it considers.</w:t>
      </w:r>
    </w:p>
    <w:p>
      <w:pPr>
        <w:pStyle w:val="TextBody"/>
        <w:bidi w:val="0"/>
        <w:spacing w:lineRule="auto" w:line="288" w:before="0" w:after="240"/>
        <w:jc w:val="left"/>
        <w:rPr/>
      </w:pPr>
      <w:r>
        <w:rPr>
          <w:rFonts w:ascii="Trade Gothic;sans-serif" w:hAnsi="Trade Gothic;sans-serif"/>
          <w:b w:val="false"/>
          <w:color w:val="000000"/>
          <w:sz w:val="19"/>
        </w:rPr>
        <w:t>Actual awards under the Incentive Compensation Plan generally will be paid in cash (or its equivalent) in a single lump sum only after they are earned and approved by the administrator, provided that the administrator reserves the right, in its sole discretion, to settle an actual award with a grant of an equity award with such terms and conditions, including vesting requirements, as determined by the administrator in its sole discretion. Unless otherwise determined by the administrator, to earn an actual award, a participant must be employed by us (or one of our affiliates) through the date the bonus is paid. Payment of bonuses occurs as soon as administratively practicable after the end of the applicable performance period, but in no case after the later of (i) the fifteenth (15</w:t>
      </w:r>
      <w:r>
        <w:rPr>
          <w:rFonts w:ascii="Trade Gothic;sans-serif" w:hAnsi="Trade Gothic;sans-serif"/>
          <w:b w:val="false"/>
          <w:color w:val="000000"/>
          <w:sz w:val="12"/>
        </w:rPr>
        <w:t>th</w:t>
      </w:r>
      <w:r>
        <w:rPr>
          <w:rFonts w:ascii="Trade Gothic;sans-serif" w:hAnsi="Trade Gothic;sans-serif"/>
          <w:b w:val="false"/>
          <w:color w:val="000000"/>
          <w:sz w:val="19"/>
        </w:rPr>
        <w:t>) day of the third (3</w:t>
      </w:r>
      <w:r>
        <w:rPr>
          <w:rFonts w:ascii="Trade Gothic;sans-serif" w:hAnsi="Trade Gothic;sans-serif"/>
          <w:b w:val="false"/>
          <w:color w:val="000000"/>
          <w:sz w:val="12"/>
        </w:rPr>
        <w:t>rd</w:t>
      </w:r>
      <w:r>
        <w:rPr>
          <w:rFonts w:ascii="Trade Gothic;sans-serif" w:hAnsi="Trade Gothic;sans-serif"/>
          <w:b w:val="false"/>
          <w:color w:val="000000"/>
          <w:sz w:val="19"/>
        </w:rPr>
        <w:t xml:space="preserve">) month of the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0335"/>
                <wp:effectExtent l="0" t="0" r="0" b="0"/>
                <wp:wrapNone/>
                <wp:docPr id="180" name="Frame16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year immediately following the fiscal year in which the bonuses vest and (ii) March 15 of the calendar year immediately following the calendar year in which the bonuses vest.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administrator has the authority to amend or terminate the Incentive Compensation Plan. However, such action may not materially alter or materially impair the existing rights of any participant with respect to any earned bonus without the participant’s consent. The Incentive Compensation Plan will remain in effect until terminated in accordance with the terms of the Incentive Compensation Plan.</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Non-Employee Director Compensation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our IPO, we had not implemented a formal policy with respect to compensation payable to our non-employee directors for services on our board of directors. Two of our non-employee directors, Mr. Khan and Ms. O’Farrell, each received cash retainer fees and an option award for their service on our board of directors for the year ended December 31, 2025. We reimburse our directors for expenses associated with attending meetings of our board of directors and its committees.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Mr. Mooney and Dr. Kahook are our only directors who were officers during 2025. See above for information about Mr. Mooney’s and Dr. Kahook’s compensation that they received for serving as officers of the Company during 2025. Neither Mr. Mooney nor Dr. Kahook received any additional compensation for serving on our board of directors during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presents the total compensation that each of our then non-employee directors received during the fiscal year ended December 31, 2025.</w:t>
      </w:r>
    </w:p>
    <w:tbl>
      <w:tblPr>
        <w:tblW w:w="10205" w:type="dxa"/>
        <w:jc w:val="left"/>
        <w:tblInd w:w="0" w:type="dxa"/>
        <w:tblLayout w:type="fixed"/>
        <w:tblCellMar>
          <w:top w:w="28" w:type="dxa"/>
          <w:left w:w="28" w:type="dxa"/>
          <w:bottom w:w="28" w:type="dxa"/>
          <w:right w:w="28" w:type="dxa"/>
        </w:tblCellMar>
      </w:tblPr>
      <w:tblGrid>
        <w:gridCol w:w="844"/>
        <w:gridCol w:w="668"/>
        <w:gridCol w:w="672"/>
        <w:gridCol w:w="109"/>
        <w:gridCol w:w="109"/>
        <w:gridCol w:w="109"/>
        <w:gridCol w:w="784"/>
        <w:gridCol w:w="665"/>
        <w:gridCol w:w="667"/>
        <w:gridCol w:w="109"/>
        <w:gridCol w:w="109"/>
        <w:gridCol w:w="109"/>
        <w:gridCol w:w="494"/>
        <w:gridCol w:w="478"/>
        <w:gridCol w:w="411"/>
        <w:gridCol w:w="109"/>
        <w:gridCol w:w="109"/>
        <w:gridCol w:w="109"/>
        <w:gridCol w:w="666"/>
        <w:gridCol w:w="666"/>
        <w:gridCol w:w="668"/>
        <w:gridCol w:w="109"/>
        <w:gridCol w:w="109"/>
        <w:gridCol w:w="109"/>
        <w:gridCol w:w="473"/>
        <w:gridCol w:w="473"/>
        <w:gridCol w:w="268"/>
      </w:tblGrid>
      <w:tr>
        <w:trPr/>
        <w:tc>
          <w:tcPr>
            <w:tcW w:w="84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color w:val="000000"/>
                <w:sz w:val="16"/>
              </w:rPr>
              <w:t>Name</w:t>
            </w:r>
            <w:r>
              <w:rPr>
                <w:color w:val="000000"/>
              </w:rPr>
              <w:t xml:space="preserve"> </w:t>
            </w:r>
            <w:r>
              <w:rPr>
                <w:rFonts w:ascii="Trade Gothic;sans-serif" w:hAnsi="Trade Gothic;sans-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Fees Paid or Earned in Cash</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Option Awards</w:t>
              <w:b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All Other Compensation</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br/>
              <w:t>($)</w:t>
            </w:r>
          </w:p>
        </w:tc>
      </w:tr>
      <w:tr>
        <w:trPr/>
        <w:tc>
          <w:tcPr>
            <w:tcW w:w="2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Zach Scheiner,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Ali Behbahani,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Bilal Khan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6,250 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289,760 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296,010 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Kirk Nielsen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Michael Dybbs,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Robert Jake Merrill, CFA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Geoff Pardo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Elizabeth O’Farrell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20,834 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393,900 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414,734 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pPr>
      <w:r>
        <w:rPr>
          <w:rFonts w:ascii="Trade Gothic;sans-serif" w:hAnsi="Trade Gothic;sans-serif"/>
          <w:b w:val="false"/>
          <w:color w:val="000000"/>
          <w:sz w:val="11"/>
        </w:rPr>
        <w:t>(1)     </w:t>
      </w:r>
      <w:r>
        <w:rPr>
          <w:rFonts w:ascii="Trade Gothic;sans-serif" w:hAnsi="Trade Gothic;sans-serif"/>
          <w:b w:val="false"/>
          <w:color w:val="000000"/>
          <w:sz w:val="17"/>
        </w:rPr>
        <w:t>Robert Jake Merrill, CFA resigned from our board of directors effective as of immediately prior to the initial public filing of our registration statement on Form S-1 in connection with our IPO.</w:t>
      </w:r>
    </w:p>
    <w:p>
      <w:pPr>
        <w:pStyle w:val="TextBody"/>
        <w:bidi w:val="0"/>
        <w:spacing w:lineRule="auto" w:line="240" w:before="0" w:after="240"/>
        <w:ind w:left="0" w:right="0" w:hanging="360"/>
        <w:jc w:val="left"/>
        <w:rPr/>
      </w:pPr>
      <w:r>
        <w:rPr>
          <w:rFonts w:ascii="Trade Gothic;sans-serif" w:hAnsi="Trade Gothic;sans-serif"/>
          <w:b w:val="false"/>
          <w:color w:val="000000"/>
          <w:sz w:val="11"/>
        </w:rPr>
        <w:t xml:space="preserve">(2) </w:t>
      </w:r>
      <w:r>
        <w:rPr>
          <w:color w:val="000000"/>
        </w:rPr>
        <w:t>    </w:t>
      </w:r>
      <w:r>
        <w:rPr>
          <w:rFonts w:ascii="Trade Gothic;sans-serif" w:hAnsi="Trade Gothic;sans-serif"/>
          <w:b w:val="false"/>
          <w:color w:val="000000"/>
          <w:sz w:val="17"/>
        </w:rPr>
        <w:t>The amount in the “Option Awards” column reflects the aggregate grant date fair value of the options granted during 2025 and calculated in accordance with Financial Accounting Standards Board (FASB), Accounting Standards Codification (ASC) Topic 718, rather than the amounts paid or realized by the non-employee director. The assumptions used to calculate the value of our option awards are the same as those provided in Note 6 to our audited financial statements included elsewhere in this Annual Report with respect to the value of the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0335"/>
                <wp:effectExtent l="0" t="0" r="0" b="0"/>
                <wp:wrapNone/>
                <wp:docPr id="181" name="Frame16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lists all outstanding equity awards held by non-employee directors as of December 31, 2025.</w:t>
      </w:r>
    </w:p>
    <w:tbl>
      <w:tblPr>
        <w:tblW w:w="7870" w:type="dxa"/>
        <w:jc w:val="left"/>
        <w:tblInd w:w="0" w:type="dxa"/>
        <w:tblLayout w:type="fixed"/>
        <w:tblCellMar>
          <w:top w:w="28" w:type="dxa"/>
          <w:left w:w="28" w:type="dxa"/>
          <w:bottom w:w="28" w:type="dxa"/>
          <w:right w:w="28" w:type="dxa"/>
        </w:tblCellMar>
      </w:tblPr>
      <w:tblGrid>
        <w:gridCol w:w="952"/>
        <w:gridCol w:w="840"/>
        <w:gridCol w:w="847"/>
        <w:gridCol w:w="109"/>
        <w:gridCol w:w="109"/>
        <w:gridCol w:w="109"/>
        <w:gridCol w:w="1434"/>
        <w:gridCol w:w="1434"/>
        <w:gridCol w:w="2036"/>
      </w:tblGrid>
      <w:tr>
        <w:trPr/>
        <w:tc>
          <w:tcPr>
            <w:tcW w:w="95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Number of Shares Underlying Options Outstanding</w:t>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Zach Scheiner,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Ali Behbahani,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Bilal Khan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60,525 </w:t>
            </w:r>
          </w:p>
        </w:tc>
        <w:tc>
          <w:tcPr>
            <w:tcW w:w="20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Kirk Nielsen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Michael Dybbs,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 xml:space="preserve">Robert Jake Merrill, CFA </w:t>
            </w:r>
            <w:r>
              <w:rPr>
                <w:rFonts w:ascii="Trade Gothic;sans-serif" w:hAnsi="Trade Gothic;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Geoff Pardo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Elizabeth O’Farrell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65,976 </w:t>
            </w:r>
          </w:p>
        </w:tc>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 xml:space="preserve">Robert Jake Merrill, CFA resigned from our board of directors effective as of immediately prior to the initial public filing of our registration statement on Form S-1 in connection with our IPO.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September 2023, Bilal Khan commenced service as a non-employee director pursuant to a board member agreement dated September 15, 2023 (the Khan Agreement). Pursuant to the Khan Agreement, in September 2023, our board of directors granted Mr. Khan an option to purchase up to 17,443 shares of common stock at an exercise price per share of $2.18. The option vested as to 25% of the shares subject to the option on the one-year anniversary of the vesting commencement date (September 20, 2024) and vests as to 1/36th of the remaining shares subject to the option monthly thereafter, subject to Mr. Khan continuing to provide services to the Company through each such date. In the event a change in control of the Company occurs while Mr. Khan is a member of our board of directors, 100% of the unvested shares subject to the option shall vest and become immediately exercisable.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May 2025, each of Robert Jake Merrill, CFA and Geoff Pardo commenced service as a non-employee director. In July 2025, Kirk Nielsen commenced service as a non-employee director. In August 2025, Elizabeth O’Farrell commenced service as a non-employee director pursuant to a board member agreement dated August 1, 2025 (the O’Farrell Agreement). Pursuant to the O’Farrell Agreement, Ms. O’Farrell will be paid a cash retainer of $40,000 per year for service on our board of directors and an additional $10,000 per year for service as chair of the Audit Committee. In November 2025, Michael Dybbs, Ph.D. commenced service as a non-employee director. In November 2025, our board of directors approved a director compensation arrangement for Mr. Khan, pursuant to which he will be paid a cash retainer of $40,000 per year for service on our board of directors and an additional $10,000 per year for service as chair of the Compensation Committee (the Khan Arrangement). The cash retainers described under the O’Farrell Agreement and the Khan Arrangement have been superseded by the outside director compensation policy described below.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August 2025, our board of directors granted each of Ms. O’Farrell and Mr. Khan an option to purchase up to 65,976 shares of common stock and 48,533 shares of common stock, respectively, each at an exercise price per share of $7.11. Each option vests as to 25% of the shares subject to the option on the one-year anniversary of the vesting commencement date (August 6, 2025) and as to 1/36th of the remaining shares subject to the option monthly thereafter, subject to the applicable service provider continuing to provide services to the Company through each such date. In the event a change in control of the Company occurs while Ms. O’Farrell or Mr. Khan is a member of our board of directors, 100% of the unvested shares subject to the applicable option shall vest and become immediately exercisable.</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Outside Director Compensation Policy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our IPO, effective on February 4, 2026, we adopted a formal compensation policy for our non-employee directors that provides for cash and equity compensation. Our stockholders have approved the initial terms of our outside director compensation policy. The compensation provided under this proposed policy is summarized below.</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Cash Compensation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outside director compensation policy, the following cash compensation program has been adopted for our non-employee directors: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$40,000 per year for service as a non-employee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0335"/>
                <wp:effectExtent l="0" t="0" r="0" b="0"/>
                <wp:wrapNone/>
                <wp:docPr id="182" name="Frame16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$30,000 per year for service as non-executive chair of the board of directors;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$20,000 per year for service as chair of the audit committee;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$10,000 per year for service as a member of the audit committee;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$15,000 per year for service as chair of the compensation committee;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$7,500 per year for service as a member of the compensation committee;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$10,000 per year for service as chair of the nominating and corporate governance committee;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$5,000 per year for service as a member of the nominating and corporate governance committee.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Each non-employee director who serves as a committee chair of our board of directors will receive the cash retainer fee as the chair of the committee but not the cash retainer fee as a member of that committee, provided that the non-employee director who serves as the chair of the board of directors will receive the annual retainer fees for such role as well as the annual retainer fee for service as a non-employee director. In addition, the above-listed fees for service as chair or member of any committee are payable in addition to the non-employee director retainer. These cash fees to our non-employee directors will be paid on a quarterly basis. Under the outside director compensation policy, we also will reimburse our non-employee directors for reasonable travel expenses to attend meetings of the board of directors and its committees.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Equity Compensation</w:t>
      </w:r>
    </w:p>
    <w:p>
      <w:pPr>
        <w:pStyle w:val="TextBody"/>
        <w:bidi w:val="0"/>
        <w:spacing w:lineRule="auto" w:line="288" w:before="0" w:after="240"/>
        <w:jc w:val="left"/>
        <w:rPr/>
      </w:pPr>
      <w:r>
        <w:rPr>
          <w:rFonts w:ascii="Trade Gothic;sans-serif" w:hAnsi="Trade Gothic;sans-serif"/>
          <w:b w:val="false"/>
          <w:i/>
          <w:color w:val="000000"/>
          <w:sz w:val="19"/>
        </w:rPr>
        <w:t xml:space="preserve">Initial Award. </w:t>
      </w:r>
      <w:r>
        <w:rPr>
          <w:rFonts w:ascii="Trade Gothic;sans-serif" w:hAnsi="Trade Gothic;sans-serif"/>
          <w:b w:val="false"/>
          <w:color w:val="000000"/>
          <w:sz w:val="19"/>
        </w:rPr>
        <w:t>Pursuant to the outside director compensation policy, each person who first becomes a non-employee director after the effective date of the outside director compensation policy will receive, on the first trading day on or after the date such individual first becomes a non-employee director, an initial award of options (the Initial Award) covering 27,400 shares of our common stock. Each Initial Award will be scheduled to vest in equal monthly installments over a three-year period following the Initial Award’s grant date, in each case subject to continued services through the applicable vesting date. If the individual was an employee, then becoming a non-employee director due to termination of employment will not entitle the person to an Initial Award.</w:t>
      </w:r>
    </w:p>
    <w:p>
      <w:pPr>
        <w:pStyle w:val="TextBody"/>
        <w:bidi w:val="0"/>
        <w:spacing w:lineRule="auto" w:line="288" w:before="0" w:after="240"/>
        <w:jc w:val="left"/>
        <w:rPr/>
      </w:pPr>
      <w:r>
        <w:rPr>
          <w:rFonts w:ascii="Trade Gothic;sans-serif" w:hAnsi="Trade Gothic;sans-serif"/>
          <w:b w:val="false"/>
          <w:i/>
          <w:color w:val="000000"/>
          <w:sz w:val="19"/>
        </w:rPr>
        <w:t>Annual Award</w:t>
      </w:r>
      <w:r>
        <w:rPr>
          <w:rFonts w:ascii="Trade Gothic;sans-serif" w:hAnsi="Trade Gothic;sans-serif"/>
          <w:b w:val="false"/>
          <w:color w:val="000000"/>
          <w:sz w:val="19"/>
        </w:rPr>
        <w:t>. Pursuant to the outside director compensation policy, each non-employee director will receive, on the first trading day immediately following each annual meeting of our stockholders (an Annual Meeting) that occurs after the effective date of the outside director compensation policy, an annual award of options (the Annual Award) covering 13,700 shares of our common stock, provided that the first Annual Award granted to an individual who first becomes a non-employee director following the effective date of the outside director compensation policy will cover the number of shares of our common stock equal to the product of (A) 13,700 and (B) a fraction, (i) the numerator of which is the number of fully completed days between the non-employee director’s initial start date and the date of the first annual meeting of our stockholders to occur after such individual first becomes a non-employee director, and (ii) the denominator of which is 365, with the resulting product rounded down to the nearest whole share and provided that the fraction described in (B) will never be greater than one. Each Annual Award will be scheduled to vest in full on the earlier of the 1-year anniversary of the grant date or, if earlier, the date immediately before the date of the next Annual Meeting after the grant date, subject to continued services through the applicable vesting date.</w:t>
      </w:r>
    </w:p>
    <w:p>
      <w:pPr>
        <w:pStyle w:val="TextBody"/>
        <w:bidi w:val="0"/>
        <w:spacing w:lineRule="auto" w:line="288" w:before="0" w:after="240"/>
        <w:jc w:val="left"/>
        <w:rPr/>
      </w:pPr>
      <w:r>
        <w:rPr>
          <w:rFonts w:ascii="Trade Gothic;sans-serif" w:hAnsi="Trade Gothic;sans-serif"/>
          <w:b w:val="false"/>
          <w:i/>
          <w:color w:val="000000"/>
          <w:sz w:val="19"/>
        </w:rPr>
        <w:t>IPO Award.</w:t>
      </w:r>
      <w:r>
        <w:rPr>
          <w:color w:val="000000"/>
        </w:rPr>
        <w:t xml:space="preserve"> </w:t>
      </w:r>
      <w:r>
        <w:rPr>
          <w:rFonts w:ascii="Trade Gothic;sans-serif" w:hAnsi="Trade Gothic;sans-serif"/>
          <w:b w:val="false"/>
          <w:color w:val="000000"/>
          <w:sz w:val="19"/>
        </w:rPr>
        <w:t>Each non-employee director who is a member of the board of directors received an award of options (the IPO Award) in connection with our IPO. Each such non-employee director who served as a member of the board of directors prior to and through the effective date of the outside director compensation policy and who held one or more outstanding Company equity awards that were granted prior to such effective date (Mr. Kahn and Ms. O’Farrell) received an IPO Award covering the same number of shares and subject to the same vesting schedule and additional terms as the Annual Award. Each non-employee director (a) who served as a member of the board of directors prior to and through the effective date of the outside director compensation policy and who did not hold any outstanding Company equity awards that were granted prior to our IPO or (b) who began service as a member of the board of directors starting on the pricing date of our IPO, in either case, received an IPO Award covering the same number of shares and subject to the same vesting schedule and additional terms as the Initial Award (Drs. Behbahani, Dybbs and Scheiner and Messrs. Pardo, Nielsen, and Dable). Each IPO Award was granted on February 5, 2026, the date of pricing of our IPO, and has an exercise price per share equal to the IPO price.</w:t>
      </w:r>
    </w:p>
    <w:p>
      <w:pPr>
        <w:pStyle w:val="TextBody"/>
        <w:bidi w:val="0"/>
        <w:spacing w:lineRule="auto" w:line="288" w:before="0" w:after="240"/>
        <w:jc w:val="left"/>
        <w:rPr/>
      </w:pPr>
      <w:r>
        <w:rPr>
          <w:rFonts w:ascii="Trade Gothic;sans-serif" w:hAnsi="Trade Gothic;sans-serif"/>
          <w:b w:val="false"/>
          <w:i/>
          <w:color w:val="000000"/>
          <w:sz w:val="19"/>
        </w:rPr>
        <w:t>Other Award Terms</w:t>
      </w:r>
      <w:r>
        <w:rPr>
          <w:rFonts w:ascii="Trade Gothic;sans-serif" w:hAnsi="Trade Gothic;sans-serif"/>
          <w:b w:val="false"/>
          <w:color w:val="000000"/>
          <w:sz w:val="19"/>
        </w:rPr>
        <w:t>. Each Initial Award, Annual Award and IPO Award will be granted under the 2026 Plan (or its successor plan, as applicable) and form of award agreement under such plan. Each Initial Award, Annual Award and IPO Award will have a post-termination exercise period for vested options upon the non-employee’s termination as a service provider (as defined in the 2026 Plan) of no shorter than 12 months from the date of termination (subject to earlier termination as provided in the 2026 Plan or as a result of the maximum term of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0335"/>
                <wp:effectExtent l="0" t="0" r="0" b="0"/>
                <wp:wrapNone/>
                <wp:docPr id="183" name="Frame16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pPr>
      <w:r>
        <w:rPr>
          <w:rFonts w:ascii="Trade Gothic;sans-serif" w:hAnsi="Trade Gothic;sans-serif"/>
          <w:b w:val="false"/>
          <w:i/>
          <w:color w:val="000000"/>
          <w:sz w:val="19"/>
        </w:rPr>
        <w:t>Change in Control.</w:t>
      </w:r>
      <w:r>
        <w:rPr>
          <w:color w:val="000000"/>
        </w:rPr>
        <w:t xml:space="preserve"> </w:t>
      </w:r>
      <w:r>
        <w:rPr>
          <w:rFonts w:ascii="Trade Gothic;sans-serif" w:hAnsi="Trade Gothic;sans-serif"/>
          <w:b w:val="false"/>
          <w:color w:val="000000"/>
          <w:sz w:val="19"/>
        </w:rPr>
        <w:t>In the event we experience a change in control, as defined in the 2026 Plan, each non-employee director’s outstanding equity awards covering shares of our common stock received while a non-employee director will accelerate vesting in full as of immediately prior to such change in control, provided that a non-employee director remains such through the date of such change in control.</w:t>
      </w:r>
    </w:p>
    <w:p>
      <w:pPr>
        <w:pStyle w:val="TextBody"/>
        <w:bidi w:val="0"/>
        <w:spacing w:lineRule="auto" w:line="288" w:before="0" w:after="240"/>
        <w:jc w:val="left"/>
        <w:rPr/>
      </w:pPr>
      <w:r>
        <w:rPr>
          <w:rFonts w:ascii="Trade Gothic;sans-serif" w:hAnsi="Trade Gothic;sans-serif"/>
          <w:b w:val="false"/>
          <w:i/>
          <w:color w:val="000000"/>
          <w:sz w:val="19"/>
        </w:rPr>
        <w:t>Director Compensation Limits</w:t>
      </w:r>
      <w:r>
        <w:rPr>
          <w:rFonts w:ascii="Trade Gothic;sans-serif" w:hAnsi="Trade Gothic;sans-serif"/>
          <w:b w:val="false"/>
          <w:color w:val="000000"/>
          <w:sz w:val="19"/>
        </w:rPr>
        <w:t>. Pursuant to the outside director compensation policy and the 2026 Plan, beginning with the first fiscal year that commences following the completion of our IPO, no non-employee director may be granted equity awards (the value of which will be based on their grant date fair value determined according to GAAP) and be provided any cash retainer fees in amounts that in the aggregate exceed $750,000 (provided that in the fiscal year of the individual’s initial service as a non-employee director, such amount is increased to $1,000,000).</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Limitation of Liability and Indemnification of Officers and Directors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amended and restated certificate of incorporation contains provisions that limit the liability of our directors and officers for monetary damages to the fullest extent permitted by the DGCL. In addition, if the DGCL is amended to provide for further limitations on the personal liability of directors and officers of corporations, then the personal liability of our directors and officers will be further limited to the greatest extent permitted by the DGCL.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our amended and restated bylaws provide that we will indemnify our directors and officers, and may indemnify our employees, agents and any other persons, to the fullest extent permitted by the DGCL. Our amended and restated bylaws also provide that we must advance expenses incurred by or on behalf of a director or officer in advance of the final disposition of any action or proceeding, subject to limited exceptions.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12. </w:t>
      </w:r>
      <w:hyperlink w:anchor="ifaf54775e85441fc836f60bc7c4f1464_154">
        <w:r>
          <w:rPr>
            <w:rStyle w:val="InternetLink"/>
          </w:rPr>
          <w:t>Security Ownership of Certain Beneficial Owner</w:t>
        </w:r>
      </w:hyperlink>
      <w:hyperlink w:anchor="ifaf54775e85441fc836f60bc7c4f1464_154">
        <w:r>
          <w:rPr>
            <w:rStyle w:val="InternetLink"/>
          </w:rPr>
          <w:t>s</w:t>
        </w:r>
      </w:hyperlink>
      <w:hyperlink w:anchor="ifaf54775e85441fc836f60bc7c4f1464_154">
        <w:r>
          <w:rPr>
            <w:rStyle w:val="InternetLink"/>
          </w:rPr>
          <w:t xml:space="preserve"> and Management and Related Stockholder </w:t>
        </w:r>
      </w:hyperlink>
      <w:hyperlink w:anchor="ifaf54775e85441fc836f60bc7c4f1464_154">
        <w:r>
          <w:rPr>
            <w:rStyle w:val="InternetLink"/>
          </w:rPr>
          <w:t>Matters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sets forth the beneficial ownership of our common stock as of March 1, 2026 by: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each person, or group of affiliated persons, known by us to beneficially own more than 5% of our common stock;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each of our named executive officers;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each of our directors;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all of our executive officers and directors as a group.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March 1, 2026. Shares subject to options that are currently exercisable or exercisable within 60 days of March 1, 2026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0335"/>
                <wp:effectExtent l="0" t="0" r="0" b="0"/>
                <wp:wrapNone/>
                <wp:docPr id="184" name="Frame16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139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all shares shown as beneficially owned by them. Unless otherwise indicated, the address for each person or entity listed in the table is c/o SpyGlass Pharma, Inc., 27061 Aliso Creek Rd., Suite 100, Aliso Viejo, California 92656. The percentage of beneficial ownership of SpyGlass Pharma is calculated based on 33,426,557 shares of common stock outstanding as of March 1, 2026.</w:t>
      </w:r>
    </w:p>
    <w:tbl>
      <w:tblPr>
        <w:tblW w:w="10205" w:type="dxa"/>
        <w:jc w:val="left"/>
        <w:tblInd w:w="0" w:type="dxa"/>
        <w:tblLayout w:type="fixed"/>
        <w:tblCellMar>
          <w:top w:w="28" w:type="dxa"/>
          <w:left w:w="28" w:type="dxa"/>
          <w:bottom w:w="28" w:type="dxa"/>
          <w:right w:w="28" w:type="dxa"/>
        </w:tblCellMar>
      </w:tblPr>
      <w:tblGrid>
        <w:gridCol w:w="1570"/>
        <w:gridCol w:w="1178"/>
        <w:gridCol w:w="1182"/>
        <w:gridCol w:w="109"/>
        <w:gridCol w:w="109"/>
        <w:gridCol w:w="109"/>
        <w:gridCol w:w="1009"/>
        <w:gridCol w:w="755"/>
        <w:gridCol w:w="757"/>
        <w:gridCol w:w="109"/>
        <w:gridCol w:w="109"/>
        <w:gridCol w:w="109"/>
        <w:gridCol w:w="643"/>
        <w:gridCol w:w="606"/>
        <w:gridCol w:w="1851"/>
      </w:tblGrid>
      <w:tr>
        <w:trPr/>
        <w:tc>
          <w:tcPr>
            <w:tcW w:w="157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Number of Shares Beneficially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Percentage of Shares Outstanding Beneficially Owned</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color w:val="000000"/>
                <w:sz w:val="16"/>
              </w:rPr>
            </w:pPr>
            <w:r>
              <w:rPr>
                <w:rFonts w:ascii="Trade Gothic;sans-serif" w:hAnsi="Trade Gothic;sans-serif"/>
                <w:b/>
                <w:color w:val="000000"/>
                <w:sz w:val="16"/>
              </w:rPr>
              <w:t>Greater than 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Coöperatieve Gilde Healthcare VG VI U.A.</w:t>
            </w:r>
            <w:r>
              <w:rPr>
                <w:rFonts w:ascii="Trade Gothic;sans-serif" w:hAnsi="Trade Gothic;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2,187,513 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6.5 </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Samsara</w:t>
            </w:r>
            <w:r>
              <w:rPr>
                <w:rFonts w:ascii="Trade Gothic;sans-serif" w:hAnsi="Trade Gothic;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2,109,953 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6.3 </w:t>
            </w:r>
          </w:p>
        </w:tc>
        <w:tc>
          <w:tcPr>
            <w:tcW w:w="1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Vensana Capital I, L.P.</w:t>
            </w:r>
            <w:r>
              <w:rPr>
                <w:rFonts w:ascii="Trade Gothic;sans-serif" w:hAnsi="Trade Gothic;sans-serif"/>
                <w:b w:val="false"/>
                <w:color w:val="000000"/>
                <w:sz w:val="12"/>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3,310,619 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9.9 </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New Enterprise Associates</w:t>
            </w:r>
            <w:r>
              <w:rPr>
                <w:rFonts w:ascii="Trade Gothic;sans-serif" w:hAnsi="Trade Gothic;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7,392,301 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22.1 </w:t>
            </w:r>
          </w:p>
        </w:tc>
        <w:tc>
          <w:tcPr>
            <w:tcW w:w="1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RA Capital Management</w:t>
            </w:r>
            <w:r>
              <w:rPr>
                <w:rFonts w:ascii="Trade Gothic;sans-serif" w:hAnsi="Trade Gothic;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8,022,639 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24.0 </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Sands Capital Alternatives</w:t>
            </w:r>
            <w:r>
              <w:rPr>
                <w:rFonts w:ascii="Trade Gothic;sans-serif" w:hAnsi="Trade Gothic;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2,500,012 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7.5 </w:t>
            </w:r>
          </w:p>
        </w:tc>
        <w:tc>
          <w:tcPr>
            <w:tcW w:w="1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color w:val="000000"/>
                <w:sz w:val="16"/>
              </w:rPr>
            </w:pPr>
            <w:r>
              <w:rPr>
                <w:rFonts w:ascii="Trade Gothic;sans-serif" w:hAnsi="Trade Gothic;sans-serif"/>
                <w:b/>
                <w:color w:val="000000"/>
                <w:sz w:val="16"/>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Patrick Mooney</w:t>
            </w:r>
            <w:r>
              <w:rPr>
                <w:rFonts w:ascii="Trade Gothic;sans-serif" w:hAnsi="Trade Gothic;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510,846 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1.5 </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Malik Y. Kahook, M.D.</w:t>
            </w:r>
            <w:r>
              <w:rPr>
                <w:rFonts w:ascii="Trade Gothic;sans-serif" w:hAnsi="Trade Gothic;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971,186 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2.9 </w:t>
            </w:r>
          </w:p>
        </w:tc>
        <w:tc>
          <w:tcPr>
            <w:tcW w:w="1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Chetan Pujara</w:t>
            </w:r>
            <w:r>
              <w:rPr>
                <w:rFonts w:ascii="Trade Gothic;sans-serif" w:hAnsi="Trade Gothic;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53,192 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Ali Behbahani, M.D.</w:t>
            </w:r>
            <w:r>
              <w:rPr>
                <w:rFonts w:ascii="Trade Gothic;sans-serif" w:hAnsi="Trade Gothic;sans-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7,393,823 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22.1 </w:t>
            </w:r>
          </w:p>
        </w:tc>
        <w:tc>
          <w:tcPr>
            <w:tcW w:w="1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Habib J. Dable</w:t>
            </w:r>
            <w:r>
              <w:rPr>
                <w:rFonts w:ascii="Trade Gothic;sans-serif" w:hAnsi="Trade Gothic;sans-serif"/>
                <w:b w:val="false"/>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1,522 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Michael Dybbs, Ph.D.</w:t>
            </w:r>
            <w:r>
              <w:rPr>
                <w:rFonts w:ascii="Trade Gothic;sans-serif" w:hAnsi="Trade Gothic;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1,522 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Bilal Khan</w:t>
            </w:r>
            <w:r>
              <w:rPr>
                <w:rFonts w:ascii="Trade Gothic;sans-serif" w:hAnsi="Trade Gothic;sans-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283,452 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Kirk Nielsen</w:t>
            </w:r>
            <w:r>
              <w:rPr>
                <w:rFonts w:ascii="Trade Gothic;sans-serif" w:hAnsi="Trade Gothic;sans-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3,312,141 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9.9 </w:t>
            </w:r>
          </w:p>
        </w:tc>
        <w:tc>
          <w:tcPr>
            <w:tcW w:w="1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Elizabeth O’Farrell</w:t>
            </w:r>
            <w:r>
              <w:rPr>
                <w:rFonts w:ascii="Trade Gothic;sans-serif" w:hAnsi="Trade Gothic;sans-serif"/>
                <w:b w:val="false"/>
                <w:color w:val="000000"/>
                <w:sz w:val="12"/>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761 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Geoff Pardo</w:t>
            </w:r>
            <w:r>
              <w:rPr>
                <w:rFonts w:ascii="Trade Gothic;sans-serif" w:hAnsi="Trade Gothic;sans-serif"/>
                <w:b w:val="false"/>
                <w:color w:val="000000"/>
                <w:sz w:val="12"/>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2,189,035 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6.5 </w:t>
            </w:r>
          </w:p>
        </w:tc>
        <w:tc>
          <w:tcPr>
            <w:tcW w:w="1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Zach Scheiner, Ph.D.</w:t>
            </w:r>
            <w:r>
              <w:rPr>
                <w:rFonts w:ascii="Trade Gothic;sans-serif" w:hAnsi="Trade Gothic;sans-serif"/>
                <w:b w:val="false"/>
                <w:color w:val="000000"/>
                <w:sz w:val="12"/>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1,522 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 xml:space="preserve">All current directors and executive officers as a group (13 persons) </w:t>
            </w:r>
            <w:r>
              <w:rPr>
                <w:rFonts w:ascii="Trade Gothic;sans-serif" w:hAnsi="Trade Gothic;sans-serif"/>
                <w:b w:val="false"/>
                <w:color w:val="000000"/>
                <w:sz w:val="12"/>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14,873,766 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43.8 </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9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rFonts w:ascii="Trade Gothic;sans-serif" w:hAnsi="Trade Gothic;sans-serif"/>
          <w:b w:val="false"/>
          <w:color w:val="000000"/>
          <w:sz w:val="17"/>
        </w:rPr>
      </w:pPr>
      <w:r>
        <w:rPr>
          <w:rFonts w:ascii="Trade Gothic;sans-serif" w:hAnsi="Trade Gothic;sans-serif"/>
          <w:b w:val="false"/>
          <w:color w:val="000000"/>
          <w:sz w:val="17"/>
        </w:rPr>
        <w:t>*Represents beneficial ownership of less than 1%.</w:t>
      </w:r>
    </w:p>
    <w:p>
      <w:pPr>
        <w:pStyle w:val="TextBody"/>
        <w:bidi w:val="0"/>
        <w:spacing w:lineRule="auto" w:line="240"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Consists of 2,187,513 shares held by Coöperatieve Gilde Healthcare VG VI U.A. (Gilde). Gilde Healthcare VG VI Management B.V. (Gilde Healthcare Management) is the manager of Gilde and has sole voting and dispositive power with respect to the shares held by Gilde. Gilde Healthcare Management is managed by Edwin de Graaf and Pieter Van der Meer, who share voting and dispositive power with respect to the shares held of record by Gilde. Geoff Pardo, a member of our board of directors, is the president and general partner of Gilde Healthcare US Inc. and may be deemed to share voting and dispositive power with respect to the shares held of record by Gilde. Each of Mr. de Graaf, Mr. Van der Meer and Mr. Pardo disclaims beneficial ownership of such holdings, except to the extent of their pecuniary interest in the shares. The address of the persons and entities referenced in this footnote is Stadsplateau 36, 3521 AZ Utrecht, The Netherlands.</w:t>
      </w:r>
    </w:p>
    <w:p>
      <w:pPr>
        <w:pStyle w:val="TextBody"/>
        <w:bidi w:val="0"/>
        <w:spacing w:lineRule="auto" w:line="240" w:before="0" w:after="0"/>
        <w:ind w:left="0" w:right="0" w:hanging="360"/>
        <w:jc w:val="left"/>
        <w:rPr/>
      </w:pPr>
      <w:r>
        <w:rPr>
          <w:rFonts w:ascii="Trade Gothic;sans-serif" w:hAnsi="Trade Gothic;sans-serif"/>
          <w:b w:val="false"/>
          <w:color w:val="000000"/>
          <w:sz w:val="11"/>
        </w:rPr>
        <w:t>(2)</w:t>
      </w:r>
      <w:r>
        <w:rPr>
          <w:rFonts w:ascii="Trade Gothic;sans-serif" w:hAnsi="Trade Gothic;sans-serif"/>
          <w:b w:val="false"/>
          <w:color w:val="000000"/>
          <w:sz w:val="17"/>
        </w:rPr>
        <w:t>Consists of (i) 1,484,953 shares held by Samsara BioCapital, L.P. (Samsara LP) and (ii) 625,000 shares held by Samsara Opportunity Fund, L.P. (Opportunity Fund). Samsara BioCapital GP, LLC (Samsara GP), is the general partner of Samsara LP. Dr. Srinivas Akkaraju is the managing member of Samsara GP. Each of Samsara GP and Dr. Srinivas Akkaraju may be deemed to have voting and investment control over the shares held by Samsara LP. Samsara Opportunity Fund GP, LLC (Samsara Opportunity GP) is the sole general partner of Opportunity Fund and Dr. Srinivas Akkaraju is the managing member of Samsara Opportunity GP. Each of Samsara Opportunity GP and Dr. Srinivas Akkaraju possesses power to direct the voting and disposition of the securities held by Samsara Opportunity Fund. The address of the persons and entities referenced in this footnote is 628 Middlefield Road, Palo Alto, California 94301.</w:t>
      </w:r>
    </w:p>
    <w:p>
      <w:pPr>
        <w:pStyle w:val="TextBody"/>
        <w:bidi w:val="0"/>
        <w:spacing w:lineRule="auto" w:line="240" w:before="0" w:after="0"/>
        <w:ind w:left="0" w:right="0" w:hanging="360"/>
        <w:jc w:val="left"/>
        <w:rPr/>
      </w:pPr>
      <w:r>
        <w:rPr>
          <w:rFonts w:ascii="Trade Gothic;sans-serif" w:hAnsi="Trade Gothic;sans-serif"/>
          <w:b w:val="false"/>
          <w:color w:val="000000"/>
          <w:sz w:val="11"/>
        </w:rPr>
        <w:t>(3)</w:t>
      </w:r>
      <w:r>
        <w:rPr>
          <w:rFonts w:ascii="Trade Gothic;sans-serif" w:hAnsi="Trade Gothic;sans-serif"/>
          <w:b w:val="false"/>
          <w:color w:val="000000"/>
          <w:sz w:val="17"/>
        </w:rPr>
        <w:t>Consists of 3,310,619 shares held by Vensana Capital I, L.P. (Vensana I). Vensana Capital I GP, LLC (Vensana GP I) is the general partner of Vensana I and may be deemed to have voting, investment and dispositive power with respect to the shares held by Vensana I. Kirk Nielsen, a member of the board of directors, and Peter Justin Klein (GP I Managing Directors) are the managing directors of Vensana GP I. The GP I Managing Directors, in their capacities with respect to Vensana GP I, may be deemed to have voting, investment and dispositive power with respect to the shares held by Vensana I. The principal business address of Vensana Capital is 3601 W. 76</w:t>
      </w:r>
      <w:r>
        <w:rPr>
          <w:rFonts w:ascii="Trade Gothic;sans-serif" w:hAnsi="Trade Gothic;sans-serif"/>
          <w:b w:val="false"/>
          <w:color w:val="000000"/>
          <w:sz w:val="11"/>
        </w:rPr>
        <w:t>th</w:t>
      </w:r>
      <w:r>
        <w:rPr>
          <w:color w:val="000000"/>
        </w:rPr>
        <w:t xml:space="preserve"> </w:t>
      </w:r>
      <w:r>
        <w:rPr>
          <w:rFonts w:ascii="Trade Gothic;sans-serif" w:hAnsi="Trade Gothic;sans-serif"/>
          <w:b w:val="false"/>
          <w:color w:val="000000"/>
          <w:sz w:val="17"/>
        </w:rPr>
        <w:t>Street, Suite 20, Edina, Minnesota 55435. </w:t>
      </w:r>
    </w:p>
    <w:p>
      <w:pPr>
        <w:pStyle w:val="TextBody"/>
        <w:bidi w:val="0"/>
        <w:spacing w:lineRule="auto" w:line="240" w:before="0" w:after="0"/>
        <w:ind w:left="0" w:right="0" w:hanging="360"/>
        <w:jc w:val="left"/>
        <w:rPr/>
      </w:pPr>
      <w:r>
        <w:rPr>
          <w:rFonts w:ascii="Trade Gothic;sans-serif" w:hAnsi="Trade Gothic;sans-serif"/>
          <w:b w:val="false"/>
          <w:color w:val="000000"/>
          <w:sz w:val="11"/>
        </w:rPr>
        <w:t>(4)</w:t>
      </w:r>
      <w:r>
        <w:rPr>
          <w:rFonts w:ascii="Trade Gothic;sans-serif" w:hAnsi="Trade Gothic;sans-serif"/>
          <w:b w:val="false"/>
          <w:color w:val="000000"/>
          <w:sz w:val="17"/>
        </w:rPr>
        <w:t xml:space="preserve">Consists of (i) 6,035,038 shares held by New Enterprise Associates 17, L.P. (NEA 17) and (ii) 1,357,263 shares held by New Enterprise Associates 16, L.P. (NEA 16). The shares held by NEA 17 are indirectly held by NEA Partners 17, L.P. (NEA Partners 17), the sole general partner of NEA 17, NEA 17 GP, LLC (NEA 17 LLC), the sole general partner of NEA Partners 17 and each of the individual managers of NEA 17 LLC. The individual managers of NEA 17 LLC (collectively, the NEA 17 Managers) are Forest Baskett, Ali Behbahani, Carmen Chang, Anthony A. Florence, Mohamad Makhzoumi, Edward Mathers,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0335"/>
                <wp:effectExtent l="0" t="0" r="0" b="0"/>
                <wp:wrapNone/>
                <wp:docPr id="185" name="Frame17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140</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40" w:before="0" w:after="0"/>
        <w:jc w:val="left"/>
        <w:rPr>
          <w:rFonts w:ascii="Trade Gothic;sans-serif" w:hAnsi="Trade Gothic;sans-serif"/>
          <w:b w:val="false"/>
          <w:color w:val="000000"/>
          <w:sz w:val="17"/>
        </w:rPr>
      </w:pPr>
      <w:r>
        <w:rPr>
          <w:rFonts w:ascii="Trade Gothic;sans-serif" w:hAnsi="Trade Gothic;sans-serif"/>
          <w:b w:val="false"/>
          <w:color w:val="000000"/>
          <w:sz w:val="17"/>
        </w:rPr>
        <w:t>Scott D. Sandell, Paul Walker and Rick Yang. NEA Partners 17, NEA 17 LLC, and the NEA 17 Managers share voting and dispositive power over the shares held by NEA 17. The shares held by NEA 16 are indirectly held by NEA Partners 16, L.P. (NEA Partners 16), the sole general partner of NEA 16, NEA 16 GP, LLC (NEA 16 LLC), the sole general partner of NEA Partners 16 and each of the individual managers of NEA 16 LLC. The individual managers of NEA 16 LLC (collectively, the NEA 16 Managers) are Forest Baskett, Ali Behbahani, Carmen Chang, Anthony A. Florence, Mohamad Makhzoumi, Scott D. Sandell, and Paul Walker. NEA Partners 16, NEA 16 LLC, and the NEA 16 Managers share voting and dispositive power over the shares held by NEA 16. Each indirect holder of the above referenced securities disclaims beneficial ownership of all applicable securities of the Company except to the extent of their actual pecuniary interest therein. The address of the principal business office of NEA 17, NEA Partners 17, NEA 17 LLC, NEA 16, NEA Partners 16, NEA 16 LLC, and Mr. Sandell is New Enterprise Associates, 1954 Greenspring Drive, Suite 600, Timonium, MD 21093. The address of the principal business office of Dr. Behbahani, Mr. Baskett, Ms. Chang, Mr. Makhzoumi, Mr. Walker and Mr. Yang is New Enterprise Associates, 2855 Sand Hill Road, Menlo Park, California 94025. The address of the principal business office of Mr. Florence and Mr. Mathers is New Enterprise Associates, 104 5th Avenue, 19th Floor, New York, NY 10001.</w:t>
      </w:r>
    </w:p>
    <w:p>
      <w:pPr>
        <w:pStyle w:val="TextBody"/>
        <w:bidi w:val="0"/>
        <w:spacing w:lineRule="auto" w:line="240" w:before="0" w:after="0"/>
        <w:ind w:left="0" w:right="0" w:hanging="360"/>
        <w:jc w:val="left"/>
        <w:rPr/>
      </w:pPr>
      <w:r>
        <w:rPr>
          <w:rFonts w:ascii="Trade Gothic;sans-serif" w:hAnsi="Trade Gothic;sans-serif"/>
          <w:b w:val="false"/>
          <w:color w:val="000000"/>
          <w:sz w:val="11"/>
        </w:rPr>
        <w:t>(5)</w:t>
      </w:r>
      <w:r>
        <w:rPr>
          <w:rFonts w:ascii="Trade Gothic;sans-serif" w:hAnsi="Trade Gothic;sans-serif"/>
          <w:b w:val="false"/>
          <w:color w:val="000000"/>
          <w:sz w:val="17"/>
        </w:rPr>
        <w:t>Consists of (i) 5,966,439 shares held by RA Capital Healthcare Fund, L.P. (RACHF), (ii) 2,054,678 shares held by RA Capital Nexus Fund III, L.P. (Nexus III), and (iii) 1,522 shares subject to options held by Dr. Scheiner exercisable within 60 days of March 1, 2026. RA Capital Management, L.P. (RA Capital Management) is the investment manager of RACHF and Nexus III. The general partner of RA Capital Management is RA Capital Management GP, LLC, of which Peter Kolchinsky and Rajeev Shah are the managing members. Each of RA Capital Management, RA Capital Management GP, LLC, Mr. Kolchinsky and Mr. Shah may be deemed to have voting and investment power over the shares held by RACHF and Nexus III. RA Capital Management, RA Capital Management GP, LLC, Mr. Kolchinsky and Mr. Shah disclaim beneficial ownership of such shares, except to the extent of any pecuniary interest therein. The principal business address of the persons and entities listed above is c/o RA Capital Management, L.P., 200 Berkeley Street, 18th Floor, Boston, MA 02116.</w:t>
      </w:r>
    </w:p>
    <w:p>
      <w:pPr>
        <w:pStyle w:val="TextBody"/>
        <w:bidi w:val="0"/>
        <w:spacing w:lineRule="auto" w:line="240" w:before="0" w:after="0"/>
        <w:ind w:left="0" w:right="0" w:hanging="360"/>
        <w:jc w:val="left"/>
        <w:rPr/>
      </w:pPr>
      <w:r>
        <w:rPr>
          <w:rFonts w:ascii="Trade Gothic;sans-serif" w:hAnsi="Trade Gothic;sans-serif"/>
          <w:b w:val="false"/>
          <w:color w:val="000000"/>
          <w:sz w:val="11"/>
        </w:rPr>
        <w:t>(6)</w:t>
      </w:r>
      <w:r>
        <w:rPr>
          <w:rFonts w:ascii="Trade Gothic;sans-serif" w:hAnsi="Trade Gothic;sans-serif"/>
          <w:b w:val="false"/>
          <w:color w:val="000000"/>
          <w:sz w:val="17"/>
        </w:rPr>
        <w:t>Consists of (i) 420,797 shares held by Sands Capital Life Sciences Pulse Fund III (DE), L.P. and (ii) 2,079,215 shares held by Sands Capital Life Sciences Pulse Fund III-Holdings, L.P. Voting and investment control is shared jointly by: (i) Sands Capital Life Sciences Pulse Fund III (DE), L.P. (Sands Pulse Fund III), (ii) Sands Capital Life Sciences Pulse Fund III-Holdings, L.P. (Sands Pulse Fund III Holdings, and together with Sands Pulse Fund III, the Sands Funds), (iii) Sands Capital Alternatives, LLC (Sands Capital Alternatives), the investment adviser of the Sands Funds, and (iv) Frank M. Sands (Sands). Sands Capital Life Sciences Pulse Fund III-GP, L.P. (Sands Pulse GP LP) is the general partner of the Sands Funds. Sands Capital Life Sciences Pulse Fund-GP, LLC (Sands Pulse GP LLC and, together with Sands Pulse GP LP, the Sands General Partners) is the general partner of Sands Pulse GP LP. Sands controls the management of Sands Capital Alternatives, the Sands General Partners and the Sands Funds and therefore holds ultimate voting and investment power over securities held by the Sands Funds. The address for each person and entity named in this footnote is 1000 Wilson Boulevard, Suite 3000, Arlington, VA 22209.</w:t>
      </w:r>
    </w:p>
    <w:p>
      <w:pPr>
        <w:pStyle w:val="TextBody"/>
        <w:bidi w:val="0"/>
        <w:spacing w:lineRule="auto" w:line="240" w:before="0" w:after="0"/>
        <w:ind w:left="0" w:right="0" w:hanging="360"/>
        <w:jc w:val="left"/>
        <w:rPr/>
      </w:pPr>
      <w:r>
        <w:rPr>
          <w:rFonts w:ascii="Trade Gothic;sans-serif" w:hAnsi="Trade Gothic;sans-serif"/>
          <w:b w:val="false"/>
          <w:color w:val="000000"/>
          <w:sz w:val="11"/>
        </w:rPr>
        <w:t>(7)</w:t>
      </w:r>
      <w:r>
        <w:rPr>
          <w:rFonts w:ascii="Trade Gothic;sans-serif" w:hAnsi="Trade Gothic;sans-serif"/>
          <w:b w:val="false"/>
          <w:color w:val="000000"/>
          <w:sz w:val="17"/>
        </w:rPr>
        <w:t>Consists of (i) 183,153 shares held by Mr. Mooney and (ii) 327,693 shares subject to options held by Mr. Mooney exercisable within 60 days of March 1, 2026.</w:t>
      </w:r>
    </w:p>
    <w:p>
      <w:pPr>
        <w:pStyle w:val="TextBody"/>
        <w:bidi w:val="0"/>
        <w:spacing w:lineRule="auto" w:line="240" w:before="0" w:after="0"/>
        <w:ind w:left="0" w:right="0" w:hanging="360"/>
        <w:jc w:val="left"/>
        <w:rPr/>
      </w:pPr>
      <w:r>
        <w:rPr>
          <w:rFonts w:ascii="Trade Gothic;sans-serif" w:hAnsi="Trade Gothic;sans-serif"/>
          <w:b w:val="false"/>
          <w:color w:val="000000"/>
          <w:sz w:val="11"/>
        </w:rPr>
        <w:t>(8)</w:t>
      </w:r>
      <w:r>
        <w:rPr>
          <w:rFonts w:ascii="Trade Gothic;sans-serif" w:hAnsi="Trade Gothic;sans-serif"/>
          <w:b w:val="false"/>
          <w:color w:val="000000"/>
          <w:sz w:val="17"/>
        </w:rPr>
        <w:t xml:space="preserve">Consists of (i) 873,978 shares held by Dr. Kahook and (ii) 97,208 shares subject to options held by Dr. Kahook exercisable within 60 days of March 1, 2026. </w:t>
      </w:r>
    </w:p>
    <w:p>
      <w:pPr>
        <w:pStyle w:val="TextBody"/>
        <w:bidi w:val="0"/>
        <w:spacing w:lineRule="auto" w:line="240" w:before="0" w:after="0"/>
        <w:ind w:left="0" w:right="0" w:hanging="360"/>
        <w:jc w:val="left"/>
        <w:rPr/>
      </w:pPr>
      <w:r>
        <w:rPr>
          <w:rFonts w:ascii="Trade Gothic;sans-serif" w:hAnsi="Trade Gothic;sans-serif"/>
          <w:b w:val="false"/>
          <w:color w:val="000000"/>
          <w:sz w:val="11"/>
        </w:rPr>
        <w:t>(9)</w:t>
      </w:r>
      <w:r>
        <w:rPr>
          <w:rFonts w:ascii="Trade Gothic;sans-serif" w:hAnsi="Trade Gothic;sans-serif"/>
          <w:b w:val="false"/>
          <w:color w:val="000000"/>
          <w:sz w:val="17"/>
        </w:rPr>
        <w:t>Consists of 53,192 shares subject to options held by Dr. Pujara exercisable within 60 days of March 1, 2026.</w:t>
      </w:r>
    </w:p>
    <w:p>
      <w:pPr>
        <w:pStyle w:val="TextBody"/>
        <w:bidi w:val="0"/>
        <w:spacing w:lineRule="auto" w:line="240" w:before="0" w:after="0"/>
        <w:ind w:left="0" w:right="0" w:hanging="360"/>
        <w:jc w:val="left"/>
        <w:rPr/>
      </w:pPr>
      <w:r>
        <w:rPr>
          <w:rFonts w:ascii="Trade Gothic;sans-serif" w:hAnsi="Trade Gothic;sans-serif"/>
          <w:b w:val="false"/>
          <w:color w:val="000000"/>
          <w:sz w:val="11"/>
        </w:rPr>
        <w:t>(10)</w:t>
      </w:r>
      <w:r>
        <w:rPr>
          <w:rFonts w:ascii="Trade Gothic;sans-serif" w:hAnsi="Trade Gothic;sans-serif"/>
          <w:b w:val="false"/>
          <w:color w:val="000000"/>
          <w:sz w:val="17"/>
        </w:rPr>
        <w:t xml:space="preserve">Consists of (i) the shares held by NEA 16 and NEA 17 set forth in footnote 4 above, and (ii) 1,522 shares subject to options held by Dr. Behbahani exercisable within 60 days of March 1, 2026. Dr. Behbahani disclaims beneficial ownership of the shares held by NEA 16 and NEA 17 except to the extent of his pecuniary interest therein. </w:t>
      </w:r>
    </w:p>
    <w:p>
      <w:pPr>
        <w:pStyle w:val="TextBody"/>
        <w:bidi w:val="0"/>
        <w:spacing w:lineRule="auto" w:line="240" w:before="0" w:after="0"/>
        <w:ind w:left="0" w:right="0" w:hanging="360"/>
        <w:jc w:val="left"/>
        <w:rPr/>
      </w:pPr>
      <w:r>
        <w:rPr>
          <w:rFonts w:ascii="Trade Gothic;sans-serif" w:hAnsi="Trade Gothic;sans-serif"/>
          <w:b w:val="false"/>
          <w:color w:val="000000"/>
          <w:sz w:val="11"/>
        </w:rPr>
        <w:t>(11)</w:t>
      </w:r>
      <w:r>
        <w:rPr>
          <w:rFonts w:ascii="Trade Gothic;sans-serif" w:hAnsi="Trade Gothic;sans-serif"/>
          <w:b w:val="false"/>
          <w:color w:val="000000"/>
          <w:sz w:val="17"/>
        </w:rPr>
        <w:t>Consists of 1,522 shares subject to options held by Mr. Dable exercisable within 60 days of March 1, 2026.</w:t>
      </w:r>
    </w:p>
    <w:p>
      <w:pPr>
        <w:pStyle w:val="TextBody"/>
        <w:bidi w:val="0"/>
        <w:spacing w:lineRule="auto" w:line="240" w:before="0" w:after="0"/>
        <w:ind w:left="0" w:right="0" w:hanging="360"/>
        <w:jc w:val="left"/>
        <w:rPr/>
      </w:pPr>
      <w:r>
        <w:rPr>
          <w:rFonts w:ascii="Trade Gothic;sans-serif" w:hAnsi="Trade Gothic;sans-serif"/>
          <w:b w:val="false"/>
          <w:color w:val="000000"/>
          <w:sz w:val="11"/>
        </w:rPr>
        <w:t>(12)</w:t>
      </w:r>
      <w:r>
        <w:rPr>
          <w:rFonts w:ascii="Trade Gothic;sans-serif" w:hAnsi="Trade Gothic;sans-serif"/>
          <w:b w:val="false"/>
          <w:color w:val="000000"/>
          <w:sz w:val="17"/>
        </w:rPr>
        <w:t>Consists of 1,522 shares subject to options held by Dr. Dybbs exercisable within 60 days of March 1, 2026.</w:t>
      </w:r>
    </w:p>
    <w:p>
      <w:pPr>
        <w:pStyle w:val="TextBody"/>
        <w:bidi w:val="0"/>
        <w:spacing w:lineRule="auto" w:line="240" w:before="0" w:after="0"/>
        <w:ind w:left="0" w:right="0" w:hanging="360"/>
        <w:jc w:val="left"/>
        <w:rPr/>
      </w:pPr>
      <w:r>
        <w:rPr>
          <w:rFonts w:ascii="Trade Gothic;sans-serif" w:hAnsi="Trade Gothic;sans-serif"/>
          <w:b w:val="false"/>
          <w:color w:val="000000"/>
          <w:sz w:val="11"/>
        </w:rPr>
        <w:t>(13)</w:t>
      </w:r>
      <w:r>
        <w:rPr>
          <w:rFonts w:ascii="Trade Gothic;sans-serif" w:hAnsi="Trade Gothic;sans-serif"/>
          <w:b w:val="false"/>
          <w:color w:val="000000"/>
          <w:sz w:val="17"/>
        </w:rPr>
        <w:t>Consists of (i) 25,450 shares held by Mr. Khan, (ii) 251,427 shares held by New World Medical, Inc. (New World Medical), and (iii) 6,575 shares subject to options held by Mr. Khan exercisable within 60 days of March 1, 2026. Mr. Khan is the chief executive officer of New World Medical and as such has voting and investment control over the shares held by New World Medical.</w:t>
      </w:r>
    </w:p>
    <w:p>
      <w:pPr>
        <w:pStyle w:val="TextBody"/>
        <w:bidi w:val="0"/>
        <w:spacing w:lineRule="auto" w:line="240" w:before="0" w:after="0"/>
        <w:ind w:left="0" w:right="0" w:hanging="360"/>
        <w:jc w:val="left"/>
        <w:rPr/>
      </w:pPr>
      <w:r>
        <w:rPr>
          <w:rFonts w:ascii="Trade Gothic;sans-serif" w:hAnsi="Trade Gothic;sans-serif"/>
          <w:b w:val="false"/>
          <w:color w:val="000000"/>
          <w:sz w:val="11"/>
        </w:rPr>
        <w:t>(14)</w:t>
      </w:r>
      <w:r>
        <w:rPr>
          <w:rFonts w:ascii="Trade Gothic;sans-serif" w:hAnsi="Trade Gothic;sans-serif"/>
          <w:b w:val="false"/>
          <w:color w:val="000000"/>
          <w:sz w:val="17"/>
        </w:rPr>
        <w:t>Consists of (i) the shares set forth in footnote 3 above, and (ii) 1,522 shares subject to options held by Mr. Nielsen exercisable within 60 days of March 1, 2026. Mr. Nielsen is a managing director of Vensana Capital I GP, LLC, the general partner of Vensana I. Mr. Nielsen disclaims beneficial ownership of the securities held by Vensana I, except to the extent of his pecuniary interest therein.</w:t>
      </w:r>
    </w:p>
    <w:p>
      <w:pPr>
        <w:pStyle w:val="TextBody"/>
        <w:bidi w:val="0"/>
        <w:spacing w:lineRule="auto" w:line="240" w:before="0" w:after="0"/>
        <w:ind w:left="0" w:right="0" w:hanging="360"/>
        <w:jc w:val="left"/>
        <w:rPr/>
      </w:pPr>
      <w:r>
        <w:rPr>
          <w:rFonts w:ascii="Trade Gothic;sans-serif" w:hAnsi="Trade Gothic;sans-serif"/>
          <w:b w:val="false"/>
          <w:color w:val="000000"/>
          <w:sz w:val="11"/>
        </w:rPr>
        <w:t>(15)</w:t>
      </w:r>
      <w:r>
        <w:rPr>
          <w:rFonts w:ascii="Trade Gothic;sans-serif" w:hAnsi="Trade Gothic;sans-serif"/>
          <w:b w:val="false"/>
          <w:color w:val="000000"/>
          <w:sz w:val="17"/>
        </w:rPr>
        <w:t>Consists of 761 shares subject to options held by Ms. O’Farrell exercisable within 60 days of March 1, 2026.</w:t>
      </w:r>
    </w:p>
    <w:p>
      <w:pPr>
        <w:pStyle w:val="TextBody"/>
        <w:bidi w:val="0"/>
        <w:spacing w:lineRule="auto" w:line="240" w:before="0" w:after="0"/>
        <w:ind w:left="0" w:right="0" w:hanging="360"/>
        <w:jc w:val="left"/>
        <w:rPr/>
      </w:pPr>
      <w:r>
        <w:rPr>
          <w:rFonts w:ascii="Trade Gothic;sans-serif" w:hAnsi="Trade Gothic;sans-serif"/>
          <w:b w:val="false"/>
          <w:color w:val="000000"/>
          <w:sz w:val="11"/>
        </w:rPr>
        <w:t>(16)</w:t>
      </w:r>
      <w:r>
        <w:rPr>
          <w:rFonts w:ascii="Trade Gothic;sans-serif" w:hAnsi="Trade Gothic;sans-serif"/>
          <w:b w:val="false"/>
          <w:color w:val="000000"/>
          <w:sz w:val="17"/>
        </w:rPr>
        <w:t xml:space="preserve">Consists of (i) the shares set forth in footnote 1 above, and (ii) 1,522 shares subject to options held by Mr. Pardo exercisable within 60 days of March 1, 2026. </w:t>
      </w:r>
    </w:p>
    <w:p>
      <w:pPr>
        <w:pStyle w:val="TextBody"/>
        <w:bidi w:val="0"/>
        <w:spacing w:lineRule="auto" w:line="240" w:before="0" w:after="0"/>
        <w:ind w:left="0" w:right="0" w:hanging="360"/>
        <w:jc w:val="left"/>
        <w:rPr/>
      </w:pPr>
      <w:r>
        <w:rPr>
          <w:rFonts w:ascii="Trade Gothic;sans-serif" w:hAnsi="Trade Gothic;sans-serif"/>
          <w:b w:val="false"/>
          <w:color w:val="000000"/>
          <w:sz w:val="11"/>
        </w:rPr>
        <w:t>(17)</w:t>
      </w:r>
      <w:r>
        <w:rPr>
          <w:rFonts w:ascii="Trade Gothic;sans-serif" w:hAnsi="Trade Gothic;sans-serif"/>
          <w:b w:val="false"/>
          <w:color w:val="000000"/>
          <w:sz w:val="17"/>
        </w:rPr>
        <w:t>Consists of 1,522 shares subject to options held by Dr. Scheiner exercisable within 60 days of March 1, 2026.</w:t>
      </w:r>
    </w:p>
    <w:p>
      <w:pPr>
        <w:pStyle w:val="TextBody"/>
        <w:bidi w:val="0"/>
        <w:spacing w:lineRule="auto" w:line="240" w:before="0" w:after="240"/>
        <w:ind w:left="0" w:right="0" w:hanging="360"/>
        <w:jc w:val="left"/>
        <w:rPr/>
      </w:pPr>
      <w:r>
        <w:rPr>
          <w:rFonts w:ascii="Trade Gothic;sans-serif" w:hAnsi="Trade Gothic;sans-serif"/>
          <w:b w:val="false"/>
          <w:color w:val="000000"/>
          <w:sz w:val="11"/>
        </w:rPr>
        <w:t>(18)</w:t>
      </w:r>
      <w:r>
        <w:rPr>
          <w:rFonts w:ascii="Trade Gothic;sans-serif" w:hAnsi="Trade Gothic;sans-serif"/>
          <w:b w:val="false"/>
          <w:color w:val="000000"/>
          <w:sz w:val="17"/>
        </w:rPr>
        <w:t>Consists of (i) 14,320,463 shares beneficially owned by our executive officers and directors and (ii) 553,303 shares subject to options held by our executive officers and directors and exercisable within 60 days of March 1, 2026.</w:t>
      </w:r>
    </w:p>
    <w:p>
      <w:pPr>
        <w:pStyle w:val="TextBody"/>
        <w:bidi w:val="0"/>
        <w:spacing w:lineRule="auto" w:line="240" w:before="0" w:after="240"/>
        <w:jc w:val="left"/>
        <w:rPr>
          <w:rFonts w:ascii="Trade Gothic;sans-serif" w:hAnsi="Trade Gothic;sans-serif"/>
          <w:b w:val="false"/>
          <w:color w:val="000000"/>
          <w:sz w:val="19"/>
        </w:rPr>
      </w:pPr>
      <w:r>
        <w:rPr>
          <w:rFonts w:ascii="Trade Gothic;sans-serif" w:hAnsi="Trade Gothic;sans-serif"/>
          <w:b w:val="false"/>
          <w:color w:val="000000"/>
          <w:sz w:val="19"/>
        </w:rPr>
        <w:t>Please see the sections titled “Executive Compensation” and “Certain Relationships and Related Transactions, and Director Independence” appearing elsewhere in this Annual Report for information regarding material relationships with our principal security holders within the past two years.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Equity Compensation Plan Information</w:t>
      </w:r>
    </w:p>
    <w:p>
      <w:pPr>
        <w:pStyle w:val="TextBody"/>
        <w:bidi w:val="0"/>
        <w:spacing w:lineRule="auto" w:line="288" w:before="0" w:after="240"/>
        <w:jc w:val="left"/>
        <w:rPr/>
      </w:pPr>
      <w:r>
        <w:rPr>
          <w:rFonts w:ascii="Trade Gothic;sans-serif" w:hAnsi="Trade Gothic;sans-serif"/>
          <w:b w:val="false"/>
          <w:color w:val="000000"/>
          <w:sz w:val="19"/>
          <w:shd w:fill="FFFFFF" w:val="clear"/>
        </w:rPr>
        <w:t xml:space="preserve">The following table sets forth information as of </w:t>
      </w:r>
      <w:r>
        <w:rPr>
          <w:rFonts w:ascii="Trade Gothic;sans-serif" w:hAnsi="Trade Gothic;sans-serif"/>
          <w:b w:val="false"/>
          <w:color w:val="000000"/>
          <w:sz w:val="19"/>
        </w:rPr>
        <w:t>December 31, 2025</w:t>
      </w:r>
      <w:r>
        <w:rPr>
          <w:color w:val="000000"/>
          <w:shd w:fill="FFFFFF" w:val="clear"/>
        </w:rPr>
        <w:t xml:space="preserve"> </w:t>
      </w:r>
      <w:r>
        <w:rPr>
          <w:rFonts w:ascii="Trade Gothic;sans-serif" w:hAnsi="Trade Gothic;sans-serif"/>
          <w:b w:val="false"/>
          <w:color w:val="000000"/>
          <w:sz w:val="19"/>
          <w:shd w:fill="FFFFFF" w:val="clear"/>
        </w:rPr>
        <w:t xml:space="preserve">with respect to the shares of common stock that may be issued upon the exercise of options under our existing equity compensation plans and arrangements in effect as of </w:t>
      </w:r>
      <w:r>
        <w:rPr>
          <w:rFonts w:ascii="Trade Gothic;sans-serif" w:hAnsi="Trade Gothic;sans-serif"/>
          <w:b w:val="false"/>
          <w:color w:val="000000"/>
          <w:sz w:val="19"/>
        </w:rPr>
        <w:t>December 31, 2025</w:t>
      </w:r>
      <w:r>
        <w:rPr>
          <w:rFonts w:ascii="Trade Gothic;sans-serif" w:hAnsi="Trade Gothic;sans-serif"/>
          <w:b w:val="false"/>
          <w:color w:val="000000"/>
          <w:sz w:val="19"/>
          <w:shd w:fill="FFFFFF" w:val="clear"/>
        </w:rPr>
        <w:t>. The information includes the number of shares covered by, and the weighted average exercise price of, outstanding options and the number of shares remaining available for future grant, excluding the shares to be issued upon exercise of outstanding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0335"/>
                <wp:effectExtent l="0" t="0" r="0" b="0"/>
                <wp:wrapNone/>
                <wp:docPr id="186" name="Frame17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141</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10205" w:type="dxa"/>
        <w:jc w:val="left"/>
        <w:tblInd w:w="0" w:type="dxa"/>
        <w:tblLayout w:type="fixed"/>
        <w:tblCellMar>
          <w:top w:w="28" w:type="dxa"/>
          <w:left w:w="28" w:type="dxa"/>
          <w:bottom w:w="28" w:type="dxa"/>
          <w:right w:w="28" w:type="dxa"/>
        </w:tblCellMar>
      </w:tblPr>
      <w:tblGrid>
        <w:gridCol w:w="1355"/>
        <w:gridCol w:w="1192"/>
        <w:gridCol w:w="1205"/>
        <w:gridCol w:w="109"/>
        <w:gridCol w:w="109"/>
        <w:gridCol w:w="109"/>
        <w:gridCol w:w="704"/>
        <w:gridCol w:w="562"/>
        <w:gridCol w:w="562"/>
        <w:gridCol w:w="109"/>
        <w:gridCol w:w="109"/>
        <w:gridCol w:w="109"/>
        <w:gridCol w:w="403"/>
        <w:gridCol w:w="1048"/>
        <w:gridCol w:w="195"/>
        <w:gridCol w:w="109"/>
        <w:gridCol w:w="109"/>
        <w:gridCol w:w="109"/>
        <w:gridCol w:w="610"/>
        <w:gridCol w:w="572"/>
        <w:gridCol w:w="816"/>
      </w:tblGrid>
      <w:tr>
        <w:trPr/>
        <w:tc>
          <w:tcPr>
            <w:tcW w:w="135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 Number of</w:t>
              <w:br/>
              <w:t>Securities to be</w:t>
              <w:br/>
              <w:t>Issued Upon Exercise</w:t>
              <w:br/>
              <w:t>of Outstanding</w:t>
              <w:br/>
              <w:t>Options, Warrants</w:t>
              <w:br/>
              <w:t>and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(b) Weighted-</w:t>
              <w:br/>
              <w:t>Average Exercise</w:t>
              <w:br/>
              <w:t>Price of Outstanding</w:t>
              <w:br/>
              <w:t>Options, Warrants</w:t>
              <w:br/>
              <w:t>and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(c) Number of Securities</w:t>
              <w:br/>
              <w:t>Remaining Available for</w:t>
              <w:br/>
              <w:t>Future Issuance Under</w:t>
              <w:br/>
              <w:t>Equity Compensation</w:t>
              <w:br/>
              <w:t>Plans (Excluding</w:t>
              <w:br/>
              <w:t>Securities Reflected in</w:t>
              <w:br/>
              <w:t>Column (a))</w:t>
            </w:r>
          </w:p>
        </w:tc>
      </w:tr>
      <w:tr>
        <w:trPr/>
        <w:tc>
          <w:tcPr>
            <w:tcW w:w="3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Equity compensation plans approved by security holders</w:t>
            </w:r>
            <w:r>
              <w:rPr>
                <w:rFonts w:ascii="Trade Gothic;sans-serif" w:hAnsi="Trade Gothic;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rade Gothic;sans-serif" w:hAnsi="Trade Gothic;sans-serif"/>
                <w:b w:val="false"/>
                <w:i/>
                <w:color w:val="000000"/>
                <w:sz w:val="19"/>
              </w:rPr>
              <w:t>2019 Plan</w:t>
            </w:r>
            <w:r>
              <w:rPr>
                <w:rFonts w:ascii="Trade Gothic;sans-serif" w:hAnsi="Trade Gothic;sans-serif"/>
                <w:b w:val="false"/>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3,405,906 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439,139 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rade Gothic;sans-serif" w:hAnsi="Trade Gothic;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3,405,906 </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439,139 </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shd w:fill="FFFFFF" w:val="clear"/>
        </w:rPr>
        <w:t xml:space="preserve">In connection with our IPO, our board of directors and our stockholders approved two new equity compensation plans, the 2026 Plan and the ESPP. Each plan became effective on February 4, 2026. The table above does not include any amounts issuable under either the 2026 Plan or the ESPP because they were not in effect as of </w:t>
      </w:r>
      <w:r>
        <w:rPr>
          <w:rFonts w:ascii="Trade Gothic;sans-serif" w:hAnsi="Trade Gothic;sans-serif"/>
          <w:b w:val="false"/>
          <w:color w:val="000000"/>
          <w:sz w:val="17"/>
        </w:rPr>
        <w:t>December 31, 2025</w:t>
      </w:r>
      <w:r>
        <w:rPr>
          <w:rFonts w:ascii="Trade Gothic;sans-serif" w:hAnsi="Trade Gothic;sans-serif"/>
          <w:b w:val="false"/>
          <w:color w:val="000000"/>
          <w:sz w:val="17"/>
          <w:shd w:fill="FFFFFF" w:val="clear"/>
        </w:rPr>
        <w:t>.</w:t>
      </w:r>
    </w:p>
    <w:p>
      <w:pPr>
        <w:pStyle w:val="TextBody"/>
        <w:bidi w:val="0"/>
        <w:spacing w:lineRule="auto" w:line="288" w:before="0" w:after="240"/>
        <w:ind w:left="0" w:right="0" w:hanging="360"/>
        <w:jc w:val="left"/>
        <w:rPr/>
      </w:pPr>
      <w:r>
        <w:rPr>
          <w:rFonts w:ascii="Trade Gothic;sans-serif" w:hAnsi="Trade Gothic;sans-serif"/>
          <w:b w:val="false"/>
          <w:color w:val="000000"/>
          <w:sz w:val="11"/>
        </w:rPr>
        <w:t>(2)</w:t>
      </w:r>
      <w:r>
        <w:rPr>
          <w:rFonts w:ascii="Trade Gothic;sans-serif" w:hAnsi="Trade Gothic;sans-serif"/>
          <w:b w:val="false"/>
          <w:color w:val="000000"/>
          <w:sz w:val="17"/>
          <w:shd w:fill="FFFFFF" w:val="clear"/>
        </w:rPr>
        <w:t xml:space="preserve">Our 2019 Plan, which was approved by our board of directors and stockholders, was the only equity compensation plan we had in place as of </w:t>
      </w:r>
      <w:r>
        <w:rPr>
          <w:rFonts w:ascii="Trade Gothic;sans-serif" w:hAnsi="Trade Gothic;sans-serif"/>
          <w:b w:val="false"/>
          <w:color w:val="000000"/>
          <w:sz w:val="17"/>
        </w:rPr>
        <w:t>December 31, 2025</w:t>
      </w:r>
      <w:r>
        <w:rPr>
          <w:rFonts w:ascii="Trade Gothic;sans-serif" w:hAnsi="Trade Gothic;sans-serif"/>
          <w:b w:val="false"/>
          <w:color w:val="000000"/>
          <w:sz w:val="17"/>
          <w:shd w:fill="FFFFFF" w:val="clear"/>
        </w:rPr>
        <w:t>. Our 2019 Plan terminated in connection with the effectiveness of our 2026 Plan and we will not grant any additional awards under our 2019 Plan. However, our 2019 Plan will continue to govern the terms and conditions of the outstanding awards previously granted under our 2019 Plan. The number of shares underlying stock options granted under the 2019 Plan that expire or otherwise terminate without having been exercised in full or are forfeited to or repurchased by us due to failure to vest will be automatically added to the 2026 Plan (provided that the maximum number of shares that may be added to the 2026 Plan pursuant to the foregoing is 3,306,187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13. </w:t>
      </w:r>
      <w:hyperlink w:anchor="ifaf54775e85441fc836f60bc7c4f1464_157">
        <w:r>
          <w:rPr>
            <w:rStyle w:val="InternetLink"/>
          </w:rPr>
          <w:t xml:space="preserve">Certain Relationships and Related Transactions, and Director </w:t>
        </w:r>
      </w:hyperlink>
      <w:hyperlink w:anchor="ifaf54775e85441fc836f60bc7c4f1464_157">
        <w:r>
          <w:rPr>
            <w:rStyle w:val="InternetLink"/>
          </w:rPr>
          <w:t>Independence</w:t>
        </w:r>
      </w:hyperlink>
    </w:p>
    <w:p>
      <w:pPr>
        <w:pStyle w:val="TextBody"/>
        <w:bidi w:val="0"/>
        <w:spacing w:lineRule="auto" w:line="288" w:before="0" w:after="100"/>
        <w:jc w:val="left"/>
        <w:rPr>
          <w:rFonts w:ascii="Trade Gothic;sans-serif" w:hAnsi="Trade Gothic;sans-serif"/>
          <w:b w:val="false"/>
          <w:color w:val="000000"/>
          <w:sz w:val="19"/>
        </w:rPr>
      </w:pPr>
      <w:r>
        <w:rPr>
          <w:rFonts w:ascii="Trade Gothic;sans-serif" w:hAnsi="Trade Gothic;sans-serif"/>
          <w:b w:val="false"/>
          <w:color w:val="000000"/>
          <w:sz w:val="19"/>
        </w:rPr>
        <w:t>In addition to the compensation arrangements, including employment, services, and termination of employment and change in control arrangements, discussed in Item 11 (Executive Compensation) of this Annual Report, the following is a description of each transaction since January 1, 2024, and each currently proposed transaction, in which:</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have been or will be a participant;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amount involved exceeded or will exceed the lesser of (i) $120,000 and (ii) 1% of the average of our total assets as of the end of the last two completed fiscal years;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of our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Redeemable Convertible Preferred Stock Financings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Series C Preferred Stock Financing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March 2025, we issued and sold an aggregate of 4,933,589 shares of our Series C-2 redeemable convertible preferred stock at a purchase price of $10.14 per share for an aggregate purchase price of approximately $50.0 million, in a milestone closing pursuant to the terms of the Series C redeemable convertible preferred stock purchase agreement. The shares of Series C-2 redeemable convertible preferred stock converted into an aggregate of 4,933,589 shares of common stock in connection with our IPO.</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Purchasers of our Series C-2 redeemable convertible preferred stock included certain holders of more than 5% of our capital stock at the time of the March 2025 closing of such financing. The following table presents the number of shares acquired and the total purchase price paid by these entities:</w:t>
      </w:r>
    </w:p>
    <w:tbl>
      <w:tblPr>
        <w:tblW w:w="9864" w:type="dxa"/>
        <w:jc w:val="left"/>
        <w:tblInd w:w="0" w:type="dxa"/>
        <w:tblLayout w:type="fixed"/>
        <w:tblCellMar>
          <w:top w:w="28" w:type="dxa"/>
          <w:left w:w="28" w:type="dxa"/>
          <w:bottom w:w="28" w:type="dxa"/>
          <w:right w:w="28" w:type="dxa"/>
        </w:tblCellMar>
      </w:tblPr>
      <w:tblGrid>
        <w:gridCol w:w="1320"/>
        <w:gridCol w:w="1159"/>
        <w:gridCol w:w="1166"/>
        <w:gridCol w:w="109"/>
        <w:gridCol w:w="109"/>
        <w:gridCol w:w="109"/>
        <w:gridCol w:w="1164"/>
        <w:gridCol w:w="1164"/>
        <w:gridCol w:w="1167"/>
        <w:gridCol w:w="109"/>
        <w:gridCol w:w="109"/>
        <w:gridCol w:w="109"/>
        <w:gridCol w:w="287"/>
        <w:gridCol w:w="1587"/>
        <w:gridCol w:w="196"/>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Investor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 of Series C-2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Total Purchase Price</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RA Capital</w:t>
            </w:r>
            <w:r>
              <w:rPr>
                <w:rFonts w:ascii="Trade Gothic;sans-serif" w:hAnsi="Trade Gothic;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1,918,235 </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19,444,443 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New Enterprise Associates 17, L.P.</w:t>
            </w:r>
            <w:r>
              <w:rPr>
                <w:rFonts w:ascii="Trade Gothic;sans-serif" w:hAnsi="Trade Gothic;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1,370,168 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13,888,887 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Samsara BioCapital, L.P.</w:t>
            </w:r>
            <w:r>
              <w:rPr>
                <w:rFonts w:ascii="Trade Gothic;sans-serif" w:hAnsi="Trade Gothic;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657,680 </w:t>
            </w:r>
          </w:p>
        </w:tc>
        <w:tc>
          <w:tcPr>
            <w:tcW w:w="1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6,666,666 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Vensana Capital I, L.P.</w:t>
            </w:r>
            <w:r>
              <w:rPr>
                <w:rFonts w:ascii="Trade Gothic;sans-serif" w:hAnsi="Trade Gothic;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548,067 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5,555,554 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Zach Scheiner, Ph.D., a member of our board of directors, is an affiliate of RA Capital.</w:t>
      </w:r>
    </w:p>
    <w:p>
      <w:pPr>
        <w:pStyle w:val="TextBody"/>
        <w:bidi w:val="0"/>
        <w:spacing w:lineRule="auto" w:line="240" w:before="0" w:after="0"/>
        <w:ind w:left="0" w:right="0" w:hanging="360"/>
        <w:jc w:val="left"/>
        <w:rPr/>
      </w:pPr>
      <w:r>
        <w:rPr>
          <w:rFonts w:ascii="Trade Gothic;sans-serif" w:hAnsi="Trade Gothic;sans-serif"/>
          <w:b w:val="false"/>
          <w:color w:val="000000"/>
          <w:sz w:val="11"/>
        </w:rPr>
        <w:t>(2)</w:t>
      </w:r>
      <w:r>
        <w:rPr>
          <w:rFonts w:ascii="Trade Gothic;sans-serif" w:hAnsi="Trade Gothic;sans-serif"/>
          <w:b w:val="false"/>
          <w:color w:val="000000"/>
          <w:sz w:val="17"/>
        </w:rPr>
        <w:t>Ali Behbahani, M.D., a member of our board of directors, is an affiliate of New Enterprise Associates 17, L.P.</w:t>
      </w:r>
    </w:p>
    <w:p>
      <w:pPr>
        <w:pStyle w:val="TextBody"/>
        <w:bidi w:val="0"/>
        <w:spacing w:lineRule="auto" w:line="240" w:before="0" w:after="0"/>
        <w:ind w:left="0" w:right="0" w:hanging="360"/>
        <w:jc w:val="left"/>
        <w:rPr/>
      </w:pPr>
      <w:r>
        <w:rPr>
          <w:rFonts w:ascii="Trade Gothic;sans-serif" w:hAnsi="Trade Gothic;sans-serif"/>
          <w:b w:val="false"/>
          <w:color w:val="000000"/>
          <w:sz w:val="11"/>
        </w:rPr>
        <w:t>(3)</w:t>
      </w:r>
      <w:r>
        <w:rPr>
          <w:rFonts w:ascii="Trade Gothic;sans-serif" w:hAnsi="Trade Gothic;sans-serif"/>
          <w:b w:val="false"/>
          <w:color w:val="000000"/>
          <w:sz w:val="17"/>
        </w:rPr>
        <w:t>Michael Dybbs, Ph.D., a member of our board of directors, is an affiliate of Samsara BioCapital, L.P.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0335"/>
                <wp:effectExtent l="0" t="0" r="0" b="0"/>
                <wp:wrapNone/>
                <wp:docPr id="187" name="Frame17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142</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40" w:before="0" w:after="240"/>
        <w:ind w:left="0" w:right="0" w:hanging="360"/>
        <w:jc w:val="left"/>
        <w:rPr/>
      </w:pPr>
      <w:r>
        <w:rPr>
          <w:rFonts w:ascii="Trade Gothic;sans-serif" w:hAnsi="Trade Gothic;sans-serif"/>
          <w:b w:val="false"/>
          <w:color w:val="000000"/>
          <w:sz w:val="11"/>
        </w:rPr>
        <w:t>(4)</w:t>
      </w:r>
      <w:r>
        <w:rPr>
          <w:rFonts w:ascii="Trade Gothic;sans-serif" w:hAnsi="Trade Gothic;sans-serif"/>
          <w:b w:val="false"/>
          <w:color w:val="000000"/>
          <w:sz w:val="17"/>
        </w:rPr>
        <w:t>Kirk Nielsen, a member of our board of directors, is an affiliate of Vensana Capital I, L.P.</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Series D Preferred Stock Financing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May 2025, we issued and sold an aggregate of 5,625,034 shares of our Series D redeemable convertible preferred stock at a purchase price of $13.34 per share for an aggregate purchase price of approximately $75.0 million. In June 2025, we issued and sold an additional 174,431 shares of our Series D redeemable convertible preferred stock at a purchase price of $13.34 per share for a purchase price of approximately $2.3 million. The shares of Series D redeemable convertible preferred stock converted into an aggregate of 5,799,465 shares of common stock in connection with our IPO.</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Purchasers of our Series D redeemable convertible preferred stock included certain holders of more than 5% of our capital stock at the time of the financing. The following table presents the number of shares acquired and the total purchase price paid by these entities:</w:t>
      </w:r>
    </w:p>
    <w:tbl>
      <w:tblPr>
        <w:tblW w:w="9683" w:type="dxa"/>
        <w:jc w:val="left"/>
        <w:tblInd w:w="0" w:type="dxa"/>
        <w:tblLayout w:type="fixed"/>
        <w:tblCellMar>
          <w:top w:w="28" w:type="dxa"/>
          <w:left w:w="28" w:type="dxa"/>
          <w:bottom w:w="28" w:type="dxa"/>
          <w:right w:w="28" w:type="dxa"/>
        </w:tblCellMar>
      </w:tblPr>
      <w:tblGrid>
        <w:gridCol w:w="1320"/>
        <w:gridCol w:w="1158"/>
        <w:gridCol w:w="1167"/>
        <w:gridCol w:w="109"/>
        <w:gridCol w:w="109"/>
        <w:gridCol w:w="109"/>
        <w:gridCol w:w="1104"/>
        <w:gridCol w:w="1104"/>
        <w:gridCol w:w="1107"/>
        <w:gridCol w:w="109"/>
        <w:gridCol w:w="109"/>
        <w:gridCol w:w="109"/>
        <w:gridCol w:w="310"/>
        <w:gridCol w:w="1548"/>
        <w:gridCol w:w="211"/>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Investor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 of Series D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 Purchase Price</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New Enterprise Associates 17, L.P.</w:t>
            </w:r>
            <w:r>
              <w:rPr>
                <w:rFonts w:ascii="Trade Gothic;sans-serif" w:hAnsi="Trade Gothic;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737,962 </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9,839,431 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RA Capital</w:t>
            </w:r>
            <w:r>
              <w:rPr>
                <w:rFonts w:ascii="Trade Gothic;sans-serif" w:hAnsi="Trade Gothic;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494,647 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6,595,268 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Vensana Capital I, L.P.</w:t>
            </w:r>
            <w:r>
              <w:rPr>
                <w:rFonts w:ascii="Trade Gothic;sans-serif" w:hAnsi="Trade Gothic;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359,255 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4,790,031 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Samsara BioCapital, L.P.</w:t>
            </w:r>
            <w:r>
              <w:rPr>
                <w:rFonts w:ascii="Trade Gothic;sans-serif" w:hAnsi="Trade Gothic;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169,593 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2,261,233 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Ali Behbahani, M.D., a member of our board of directors, is an affiliate of New Enterprise Associates 17, L.P.</w:t>
      </w:r>
    </w:p>
    <w:p>
      <w:pPr>
        <w:pStyle w:val="TextBody"/>
        <w:bidi w:val="0"/>
        <w:spacing w:lineRule="auto" w:line="240" w:before="0" w:after="0"/>
        <w:ind w:left="0" w:right="0" w:hanging="360"/>
        <w:jc w:val="left"/>
        <w:rPr/>
      </w:pPr>
      <w:r>
        <w:rPr>
          <w:rFonts w:ascii="Trade Gothic;sans-serif" w:hAnsi="Trade Gothic;sans-serif"/>
          <w:b w:val="false"/>
          <w:color w:val="000000"/>
          <w:sz w:val="11"/>
        </w:rPr>
        <w:t>(2)</w:t>
      </w:r>
      <w:r>
        <w:rPr>
          <w:rFonts w:ascii="Trade Gothic;sans-serif" w:hAnsi="Trade Gothic;sans-serif"/>
          <w:b w:val="false"/>
          <w:color w:val="000000"/>
          <w:sz w:val="17"/>
        </w:rPr>
        <w:t>Zach Scheiner, Ph.D., a member of our board of directors, is an affiliate of RA Capital.</w:t>
      </w:r>
    </w:p>
    <w:p>
      <w:pPr>
        <w:pStyle w:val="TextBody"/>
        <w:bidi w:val="0"/>
        <w:spacing w:lineRule="auto" w:line="240" w:before="0" w:after="0"/>
        <w:ind w:left="0" w:right="0" w:hanging="360"/>
        <w:jc w:val="left"/>
        <w:rPr/>
      </w:pPr>
      <w:r>
        <w:rPr>
          <w:rFonts w:ascii="Trade Gothic;sans-serif" w:hAnsi="Trade Gothic;sans-serif"/>
          <w:b w:val="false"/>
          <w:color w:val="000000"/>
          <w:sz w:val="11"/>
        </w:rPr>
        <w:t>(3)</w:t>
      </w:r>
      <w:r>
        <w:rPr>
          <w:rFonts w:ascii="Trade Gothic;sans-serif" w:hAnsi="Trade Gothic;sans-serif"/>
          <w:b w:val="false"/>
          <w:color w:val="000000"/>
          <w:sz w:val="17"/>
        </w:rPr>
        <w:t>Kirk Nielsen, a member of our board of directors, is an affiliate of Vensana Capital I, L.P.</w:t>
      </w:r>
    </w:p>
    <w:p>
      <w:pPr>
        <w:pStyle w:val="TextBody"/>
        <w:bidi w:val="0"/>
        <w:spacing w:lineRule="auto" w:line="240" w:before="0" w:after="240"/>
        <w:ind w:left="0" w:right="0" w:hanging="360"/>
        <w:jc w:val="left"/>
        <w:rPr/>
      </w:pPr>
      <w:r>
        <w:rPr>
          <w:rFonts w:ascii="Trade Gothic;sans-serif" w:hAnsi="Trade Gothic;sans-serif"/>
          <w:b w:val="false"/>
          <w:color w:val="000000"/>
          <w:sz w:val="11"/>
        </w:rPr>
        <w:t>(4)</w:t>
      </w:r>
      <w:r>
        <w:rPr>
          <w:rFonts w:ascii="Trade Gothic;sans-serif" w:hAnsi="Trade Gothic;sans-serif"/>
          <w:b w:val="false"/>
          <w:color w:val="000000"/>
          <w:sz w:val="17"/>
        </w:rPr>
        <w:t>Michael Dybbs, Ph.D., a member of our board of directors, is an affiliate of Samsara BioCapital, L.P.</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Participation in our IPO</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February 2026, we issued and sold an aggregate of 10,781,250 shares of our common stock in our IPO, which includes the exercise in full of the underwriters’ option to purchase 1,406,250 shares of our common stock, at a public offering price of $16.00 per share.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Purchasers of shares of our common stock in our IPO included certain holders of more than 5% of our capital stock and certain of our directors or entities affiliated with certain of our directors. The following table presents the number of shares acquired and the total purchase price paid by these individuals and entities:</w:t>
      </w:r>
    </w:p>
    <w:tbl>
      <w:tblPr>
        <w:tblW w:w="10205" w:type="dxa"/>
        <w:jc w:val="left"/>
        <w:tblInd w:w="0" w:type="dxa"/>
        <w:tblLayout w:type="fixed"/>
        <w:tblCellMar>
          <w:top w:w="28" w:type="dxa"/>
          <w:left w:w="28" w:type="dxa"/>
          <w:bottom w:w="28" w:type="dxa"/>
          <w:right w:w="28" w:type="dxa"/>
        </w:tblCellMar>
      </w:tblPr>
      <w:tblGrid>
        <w:gridCol w:w="1830"/>
        <w:gridCol w:w="1604"/>
        <w:gridCol w:w="1614"/>
        <w:gridCol w:w="109"/>
        <w:gridCol w:w="109"/>
        <w:gridCol w:w="109"/>
        <w:gridCol w:w="814"/>
        <w:gridCol w:w="809"/>
        <w:gridCol w:w="812"/>
        <w:gridCol w:w="109"/>
        <w:gridCol w:w="109"/>
        <w:gridCol w:w="109"/>
        <w:gridCol w:w="286"/>
        <w:gridCol w:w="1583"/>
        <w:gridCol w:w="199"/>
      </w:tblGrid>
      <w:tr>
        <w:trPr/>
        <w:tc>
          <w:tcPr>
            <w:tcW w:w="183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Investor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 Purchase Price</w:t>
            </w:r>
          </w:p>
        </w:tc>
      </w:tr>
      <w:tr>
        <w:trPr/>
        <w:tc>
          <w:tcPr>
            <w:tcW w:w="5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RA Capital</w:t>
            </w:r>
            <w:r>
              <w:rPr>
                <w:rFonts w:ascii="Trade Gothic;sans-serif" w:hAnsi="Trade Gothic;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3,690,000 </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59,040,000 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New Enterprise Associates</w:t>
            </w:r>
            <w:r>
              <w:rPr>
                <w:rFonts w:ascii="Trade Gothic;sans-serif" w:hAnsi="Trade Gothic;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937,500 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15,000,000 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Samsara Opportunity Fund, L.P.</w:t>
            </w:r>
            <w:r>
              <w:rPr>
                <w:rFonts w:ascii="Trade Gothic;sans-serif" w:hAnsi="Trade Gothic;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625,000 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10,000,000 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Entities affiliated with Sands Capital Alternatives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625,000 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10,000,000 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Coöperatieve Gilde Healthcare VG VI U.A.</w:t>
            </w:r>
            <w:r>
              <w:rPr>
                <w:rFonts w:ascii="Trade Gothic;sans-serif" w:hAnsi="Trade Gothic;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312,500 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5,000,000 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Vensana Capital I, L.P.</w:t>
            </w:r>
            <w:r>
              <w:rPr>
                <w:rFonts w:ascii="Trade Gothic;sans-serif" w:hAnsi="Trade Gothic;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165,000 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2,640,000 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New World Medical, Inc.</w:t>
            </w:r>
            <w:r>
              <w:rPr>
                <w:rFonts w:ascii="Trade Gothic;sans-serif" w:hAnsi="Trade Gothic;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115,000 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1,840,000 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Bilal Khan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20,000 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pPr>
      <w:r>
        <w:rPr>
          <w:rFonts w:ascii="Trade Gothic;sans-serif" w:hAnsi="Trade Gothic;sans-serif"/>
          <w:b w:val="false"/>
          <w:color w:val="000000"/>
          <w:sz w:val="11"/>
        </w:rPr>
        <w:t>(1)</w:t>
      </w:r>
      <w:r>
        <w:rPr>
          <w:rFonts w:ascii="Trade Gothic;sans-serif" w:hAnsi="Trade Gothic;sans-serif"/>
          <w:b w:val="false"/>
          <w:color w:val="000000"/>
          <w:sz w:val="17"/>
        </w:rPr>
        <w:t>Zach Scheiner, Ph.D., a member of our board of directors, is an affiliate of RA Capital.</w:t>
      </w:r>
    </w:p>
    <w:p>
      <w:pPr>
        <w:pStyle w:val="TextBody"/>
        <w:bidi w:val="0"/>
        <w:spacing w:lineRule="auto" w:line="240" w:before="0" w:after="0"/>
        <w:ind w:left="0" w:right="0" w:hanging="360"/>
        <w:jc w:val="left"/>
        <w:rPr/>
      </w:pPr>
      <w:r>
        <w:rPr>
          <w:rFonts w:ascii="Trade Gothic;sans-serif" w:hAnsi="Trade Gothic;sans-serif"/>
          <w:b w:val="false"/>
          <w:color w:val="000000"/>
          <w:sz w:val="11"/>
        </w:rPr>
        <w:t>(2)</w:t>
      </w:r>
      <w:r>
        <w:rPr>
          <w:rFonts w:ascii="Trade Gothic;sans-serif" w:hAnsi="Trade Gothic;sans-serif"/>
          <w:b w:val="false"/>
          <w:color w:val="000000"/>
          <w:sz w:val="17"/>
        </w:rPr>
        <w:t>Ali Behbahani, M.D., a member of our board of directors, is an affiliate of New Enterprise Associates.</w:t>
      </w:r>
    </w:p>
    <w:p>
      <w:pPr>
        <w:pStyle w:val="TextBody"/>
        <w:bidi w:val="0"/>
        <w:spacing w:lineRule="auto" w:line="240" w:before="0" w:after="0"/>
        <w:ind w:left="0" w:right="0" w:hanging="360"/>
        <w:jc w:val="left"/>
        <w:rPr/>
      </w:pPr>
      <w:r>
        <w:rPr>
          <w:rFonts w:ascii="Trade Gothic;sans-serif" w:hAnsi="Trade Gothic;sans-serif"/>
          <w:b w:val="false"/>
          <w:color w:val="000000"/>
          <w:sz w:val="11"/>
        </w:rPr>
        <w:t>(3)</w:t>
      </w:r>
      <w:r>
        <w:rPr>
          <w:rFonts w:ascii="Trade Gothic;sans-serif" w:hAnsi="Trade Gothic;sans-serif"/>
          <w:b w:val="false"/>
          <w:color w:val="000000"/>
          <w:sz w:val="17"/>
        </w:rPr>
        <w:t>Michael Dybbs, Ph.D., a member of our board of directors, is an affiliate of Samsara.</w:t>
      </w:r>
    </w:p>
    <w:p>
      <w:pPr>
        <w:pStyle w:val="TextBody"/>
        <w:bidi w:val="0"/>
        <w:spacing w:lineRule="auto" w:line="240" w:before="0" w:after="0"/>
        <w:ind w:left="0" w:right="0" w:hanging="360"/>
        <w:jc w:val="left"/>
        <w:rPr/>
      </w:pPr>
      <w:r>
        <w:rPr>
          <w:rFonts w:ascii="Trade Gothic;sans-serif" w:hAnsi="Trade Gothic;sans-serif"/>
          <w:b w:val="false"/>
          <w:color w:val="000000"/>
          <w:sz w:val="11"/>
        </w:rPr>
        <w:t>(4)</w:t>
      </w:r>
      <w:r>
        <w:rPr>
          <w:rFonts w:ascii="Trade Gothic;sans-serif" w:hAnsi="Trade Gothic;sans-serif"/>
          <w:b w:val="false"/>
          <w:color w:val="000000"/>
          <w:sz w:val="17"/>
        </w:rPr>
        <w:t>Geoff Pardo, a member of our board of directors, is an affiliate of Gilde.</w:t>
      </w:r>
    </w:p>
    <w:p>
      <w:pPr>
        <w:pStyle w:val="TextBody"/>
        <w:bidi w:val="0"/>
        <w:spacing w:lineRule="auto" w:line="240" w:before="0" w:after="0"/>
        <w:ind w:left="0" w:right="0" w:hanging="360"/>
        <w:jc w:val="left"/>
        <w:rPr/>
      </w:pPr>
      <w:r>
        <w:rPr>
          <w:rFonts w:ascii="Trade Gothic;sans-serif" w:hAnsi="Trade Gothic;sans-serif"/>
          <w:b w:val="false"/>
          <w:color w:val="000000"/>
          <w:sz w:val="11"/>
        </w:rPr>
        <w:t>(5)</w:t>
      </w:r>
      <w:r>
        <w:rPr>
          <w:rFonts w:ascii="Trade Gothic;sans-serif" w:hAnsi="Trade Gothic;sans-serif"/>
          <w:b w:val="false"/>
          <w:color w:val="000000"/>
          <w:sz w:val="17"/>
        </w:rPr>
        <w:t>Kirk Nielsen, a member of our board of directors, is an affiliate of Vensana Capital I, L.P.</w:t>
      </w:r>
    </w:p>
    <w:p>
      <w:pPr>
        <w:pStyle w:val="TextBody"/>
        <w:bidi w:val="0"/>
        <w:spacing w:lineRule="auto" w:line="240" w:before="0" w:after="240"/>
        <w:ind w:left="0" w:right="0" w:hanging="360"/>
        <w:jc w:val="left"/>
        <w:rPr/>
      </w:pPr>
      <w:r>
        <w:rPr>
          <w:rFonts w:ascii="Trade Gothic;sans-serif" w:hAnsi="Trade Gothic;sans-serif"/>
          <w:b w:val="false"/>
          <w:color w:val="000000"/>
          <w:sz w:val="11"/>
        </w:rPr>
        <w:t>(6)</w:t>
      </w:r>
      <w:r>
        <w:rPr>
          <w:rFonts w:ascii="Trade Gothic;sans-serif" w:hAnsi="Trade Gothic;sans-serif"/>
          <w:b w:val="false"/>
          <w:color w:val="000000"/>
          <w:sz w:val="17"/>
        </w:rPr>
        <w:t>Bilal Khan, a member of our board of directors, is the chief executive officer of New World Medical.</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Lock-Up Agreements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our IPO, each of our executive officers, directors and substantially all of our stockholders entered into a lock-up agreement with the underwriters, pursuant to which such parties agreed not to, except in limited circumstances, sell or transfer their shares of common stock, for the 180-day period following the date of our final prospectus in connection with our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0335"/>
                <wp:effectExtent l="0" t="0" r="0" b="0"/>
                <wp:wrapNone/>
                <wp:docPr id="188" name="Frame17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143</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Investors’ Rights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party to an amended and restated investors’ rights agreement with certain holders of our capital stock, including entities affiliated with New Enterprise Associates, entities affiliated with RA Capital, entities affiliated with Sands Capital Alternatives, Samsara BioCapital, Vensana Capital I, L.P. and Coöperatieve Gilde Healthcare VG VI U.A. Under our amended and restated investors’ rights agreement, certain holders of our capital stock have the right to demand that we file a registration statement or request that their shares of our capital stock be covered by a registration statement that we are otherwise filing.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Upon the closing of our IPO, the amended and restated investors’ rights agreement and the rights and obligations of the parties to the amended and restated investors’ rights agreement terminated, except for the registration rights set forth therein.</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Voting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were a party to an amended and restated voting agreement with certain holders of our capital stock, including, among others, Patrick Mooney, our Chief Executive Officer and a member of our board of directors, Malik Y. Kahook, M.D., our President, Chief Medical Officer, executive chair and a member of our board of directors, entities affiliated with New Enterprise Associates, entities affiliated with RA Capital, entities affiliated with Sands Capital Alternatives, Samsara BioCapital, LP, Vensana Capital I, L.P. and Coöperatieve Gilde Healthcare VG VI U.A.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our IPO, the voting agreement and the obligations of the parties to the voting agreement to vote their shares so as to elect these nominees, as well as the other rights and obligations under this agreement, terminated and none of our stockholders have any special rights regarding the nomination, election or designation of members of the board of directors pursuant to such agreement.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Indemnification Agreements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entered, and intend to continue to enter, into separate indemnification agreements with each of our directors and executive officers, in addition to the indemnification provided for in our amended and restated certificate of incorporation and amended and restated bylaws. The indemnification agreements and our amended restated certificate of incorporation and amended and restated bylaws generally require us to indemnify our directors, executive officers and certain controlling persons to the fullest extent permitted by Delaware law.</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Policies and Procedures for Related Person Transactions</w:t>
      </w:r>
    </w:p>
    <w:p>
      <w:pPr>
        <w:pStyle w:val="TextBody"/>
        <w:bidi w:val="0"/>
        <w:spacing w:lineRule="auto" w:line="288" w:before="0" w:after="240"/>
        <w:jc w:val="left"/>
        <w:rPr/>
      </w:pPr>
      <w:r>
        <w:rPr>
          <w:rFonts w:ascii="Trade Gothic;sans-serif" w:hAnsi="Trade Gothic;sans-serif"/>
          <w:b w:val="false"/>
          <w:color w:val="000000"/>
          <w:sz w:val="19"/>
          <w:shd w:fill="FFFFFF" w:val="clear"/>
        </w:rPr>
        <w:t xml:space="preserve">We adopted a formal, written policy regarding related person transactions. This written policy regarding related person transactions provides that a related person transaction is </w:t>
      </w:r>
      <w:r>
        <w:rPr>
          <w:rFonts w:ascii="Trade Gothic;sans-serif" w:hAnsi="Trade Gothic;sans-serif"/>
          <w:b w:val="false"/>
          <w:color w:val="000000"/>
          <w:sz w:val="19"/>
        </w:rPr>
        <w:t>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the lesser of $120,000 or 1% of the average of our total assets for the last two completed fiscal years. Our policy also provides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w:t>
      </w:r>
      <w:r>
        <w:rPr>
          <w:color w:val="000000"/>
          <w:shd w:fill="FFFFFF" w:val="clear"/>
        </w:rPr>
        <w:t xml:space="preserve"> </w:t>
      </w:r>
      <w:r>
        <w:rPr>
          <w:rFonts w:ascii="Trade Gothic;sans-serif" w:hAnsi="Trade Gothic;sans-serif"/>
          <w:b w:val="false"/>
          <w:color w:val="000000"/>
          <w:sz w:val="19"/>
          <w:shd w:fill="FFFFFF" w:val="clear"/>
        </w:rPr>
        <w:t>audit committee has the primary responsibility for reviewing and approving or disapproving related person transactions. In addition to our policy, our audit committee charter provides that our audit committee shall review and approve or disapprove any related person transactions.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Prior to our IPO, we did not have a written policy regarding the review and approval of related person transactions. Nevertheless, with respect to such transactions, it had been the practice of the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14. </w:t>
      </w:r>
      <w:hyperlink w:anchor="ifaf54775e85441fc836f60bc7c4f1464_160">
        <w:r>
          <w:rPr>
            <w:rStyle w:val="InternetLink"/>
            <w:rFonts w:ascii="Trade Gothic;sans-serif" w:hAnsi="Trade Gothic;sans-serif"/>
            <w:b/>
            <w:strike w:val="false"/>
            <w:dstrike w:val="false"/>
            <w:color w:val="000000"/>
            <w:sz w:val="20"/>
            <w:u w:val="none"/>
            <w:effect w:val="none"/>
          </w:rPr>
          <w:t>Principal Accounting Fees and Services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Independent Registered Public Accounting Firm Fees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presents fees billed to the Company by Deloitte &amp; Touche LLP, our independent registered public accounting firm, for professional services rendered for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0335"/>
                <wp:effectExtent l="0" t="0" r="0" b="0"/>
                <wp:wrapNone/>
                <wp:docPr id="189" name="Frame17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144</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5127" w:type="dxa"/>
        <w:jc w:val="left"/>
        <w:tblInd w:w="0" w:type="dxa"/>
        <w:tblLayout w:type="fixed"/>
        <w:tblCellMar>
          <w:top w:w="28" w:type="dxa"/>
          <w:left w:w="28" w:type="dxa"/>
          <w:bottom w:w="28" w:type="dxa"/>
          <w:right w:w="28" w:type="dxa"/>
        </w:tblCellMar>
      </w:tblPr>
      <w:tblGrid>
        <w:gridCol w:w="674"/>
        <w:gridCol w:w="591"/>
        <w:gridCol w:w="594"/>
        <w:gridCol w:w="384"/>
        <w:gridCol w:w="911"/>
        <w:gridCol w:w="174"/>
        <w:gridCol w:w="174"/>
        <w:gridCol w:w="174"/>
        <w:gridCol w:w="174"/>
        <w:gridCol w:w="384"/>
        <w:gridCol w:w="648"/>
        <w:gridCol w:w="245"/>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For the Year Ended December 31,</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rade Gothic;sans-serif" w:hAnsi="Trade Gothic;sans-serif"/>
                <w:b/>
                <w:color w:val="000000"/>
                <w:sz w:val="16"/>
              </w:rPr>
            </w:pPr>
            <w:r>
              <w:rPr>
                <w:rFonts w:ascii="Trade Gothic;sans-serif" w:hAnsi="Trade Gothic;sans-serif"/>
                <w:b/>
                <w:color w:val="000000"/>
                <w:sz w:val="16"/>
              </w:rPr>
              <w:t>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Audit fees</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Audit related fees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Tax fees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All other fees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rade Gothic;sans-serif" w:hAnsi="Trade Gothic;sans-serif"/>
                <w:b/>
                <w:color w:val="000000"/>
                <w:sz w:val="19"/>
              </w:rPr>
              <w:t>923</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Audit Fees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Audit fees of Deloitte &amp; Touche LLP consist of fees billed for professional services rendered for the audit of the Company’s annual financial statements included in this Annual Report on Form 10-K, reviews of quarterly financial statements, services relating to the Company’s IPO, and services that are normally provided by the Company’s independent registered public accounting firm in connection with statutory and regulatory filings. We engaged Deloitte &amp; Touche LLP in 2025 to audit our 2023, 2024 and 2025 annual financial statements.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Audit Committee Pre-Approval Policy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our IPO, our audit committee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Since the adoption of this policy, all services provided by Deloitte &amp; Touche LLP have been pre-approved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0335"/>
                <wp:effectExtent l="0" t="0" r="0" b="0"/>
                <wp:wrapNone/>
                <wp:docPr id="190" name="Frame17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145</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rade Gothic;sans-serif" w:hAnsi="Trade Gothic;sans-serif"/>
          <w:b/>
          <w:color w:val="000000"/>
          <w:sz w:val="20"/>
        </w:rPr>
        <w:t xml:space="preserve">Item 15. </w:t>
      </w:r>
      <w:hyperlink w:anchor="ifaf54775e85441fc836f60bc7c4f1464_166">
        <w:r>
          <w:rPr>
            <w:rStyle w:val="InternetLink"/>
          </w:rPr>
          <w:t>Exhibits, Financial Statement Schedules</w:t>
        </w:r>
      </w:hyperlink>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(a) 1. Financial Statements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Index to Financial Statements in Part II, Item 8 of this Annual Report on Form 10-K, which is incorporated herein by reference.</w:t>
      </w:r>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2. Financial Statement Schedules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All financial statement schedules have been omitted because they are either not applicable or the required information is shown in the consolidated financial statements or notes thereto.</w:t>
      </w:r>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3. Exhibits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the Exhibit Index which precedes the signature page of this Annual Report, which is incorporated herein by reference.</w:t>
      </w:r>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(b) Exhibits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Item 15(a)(3) above.</w:t>
      </w:r>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(c) Financial Statement Schedules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Item 15(a)(2) above.</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0335"/>
                <wp:effectExtent l="0" t="0" r="0" b="0"/>
                <wp:wrapNone/>
                <wp:docPr id="191" name="Frame17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146</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41"/>
        <w:gridCol w:w="300"/>
        <w:gridCol w:w="301"/>
        <w:gridCol w:w="109"/>
        <w:gridCol w:w="109"/>
        <w:gridCol w:w="109"/>
        <w:gridCol w:w="2735"/>
        <w:gridCol w:w="2555"/>
        <w:gridCol w:w="3646"/>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Description</w:t>
            </w:r>
          </w:p>
        </w:tc>
      </w:tr>
      <w:tr>
        <w:trPr/>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rade Gothic;sans-serif" w:hAnsi="Trade Gothic;sans-serif"/>
                  <w:b w:val="false"/>
                  <w:color w:val="000080"/>
                  <w:sz w:val="19"/>
                  <w:u w:val="single"/>
                </w:rPr>
                <w:t>A</w:t>
              </w:r>
            </w:hyperlink>
            <w:hyperlink r:id="rId18">
              <w:r>
                <w:rPr>
                  <w:rStyle w:val="InternetLink"/>
                  <w:rFonts w:ascii="Trade Gothic;sans-serif" w:hAnsi="Trade Gothic;sans-serif"/>
                  <w:b w:val="false"/>
                  <w:color w:val="000080"/>
                  <w:sz w:val="19"/>
                  <w:u w:val="single"/>
                </w:rPr>
                <w:t>mended and Restated Certificate of Incorporation of the Registrant (incorporated by reference to Exhibit 3.1 to the Registrant</w:t>
              </w:r>
            </w:hyperlink>
            <w:hyperlink r:id="rId19">
              <w:r>
                <w:rPr>
                  <w:rStyle w:val="InternetLink"/>
                  <w:rFonts w:ascii="Trade Gothic;sans-serif" w:hAnsi="Trade Gothic;sans-serif"/>
                  <w:b w:val="false"/>
                  <w:color w:val="000080"/>
                  <w:sz w:val="19"/>
                  <w:u w:val="single"/>
                </w:rPr>
                <w:t>’</w:t>
              </w:r>
            </w:hyperlink>
            <w:hyperlink r:id="rId20">
              <w:r>
                <w:rPr>
                  <w:rStyle w:val="InternetLink"/>
                  <w:rFonts w:ascii="Trade Gothic;sans-serif" w:hAnsi="Trade Gothic;sans-serif"/>
                  <w:b w:val="false"/>
                  <w:color w:val="000080"/>
                  <w:sz w:val="19"/>
                  <w:u w:val="single"/>
                </w:rPr>
                <w:t>s Current Report on Form 8-K filed with the SEC on February 9, 2026).</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rade Gothic;sans-serif" w:hAnsi="Trade Gothic;sans-serif"/>
                  <w:b w:val="false"/>
                  <w:color w:val="000080"/>
                  <w:sz w:val="19"/>
                  <w:u w:val="single"/>
                </w:rPr>
                <w:t>A</w:t>
              </w:r>
            </w:hyperlink>
            <w:hyperlink r:id="rId22">
              <w:r>
                <w:rPr>
                  <w:rStyle w:val="InternetLink"/>
                  <w:rFonts w:ascii="Trade Gothic;sans-serif" w:hAnsi="Trade Gothic;sans-serif"/>
                  <w:b w:val="false"/>
                  <w:color w:val="000080"/>
                  <w:sz w:val="19"/>
                  <w:u w:val="single"/>
                </w:rPr>
                <w:t xml:space="preserve">mended and Restated Bylaws of the Registrant </w:t>
              </w:r>
            </w:hyperlink>
            <w:hyperlink r:id="rId23">
              <w:r>
                <w:rPr>
                  <w:rStyle w:val="InternetLink"/>
                  <w:rFonts w:ascii="Trade Gothic;sans-serif" w:hAnsi="Trade Gothic;sans-serif"/>
                  <w:b w:val="false"/>
                  <w:color w:val="000080"/>
                  <w:sz w:val="19"/>
                  <w:u w:val="single"/>
                </w:rPr>
                <w:t>(incorporated by reference to Exhibit 3.</w:t>
              </w:r>
            </w:hyperlink>
            <w:hyperlink r:id="rId24">
              <w:r>
                <w:rPr>
                  <w:rStyle w:val="InternetLink"/>
                  <w:rFonts w:ascii="Trade Gothic;sans-serif" w:hAnsi="Trade Gothic;sans-serif"/>
                  <w:b w:val="false"/>
                  <w:color w:val="000080"/>
                  <w:sz w:val="19"/>
                  <w:u w:val="single"/>
                </w:rPr>
                <w:t>2</w:t>
              </w:r>
            </w:hyperlink>
            <w:hyperlink r:id="rId25">
              <w:r>
                <w:rPr>
                  <w:rStyle w:val="InternetLink"/>
                  <w:rFonts w:ascii="Trade Gothic;sans-serif" w:hAnsi="Trade Gothic;sans-serif"/>
                  <w:b w:val="false"/>
                  <w:color w:val="000080"/>
                  <w:sz w:val="19"/>
                  <w:u w:val="single"/>
                </w:rPr>
                <w:t xml:space="preserve"> to the Registrant’s Current Report on Form 8-K filed with the SEC on February 9, 2026).</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rade Gothic;sans-serif" w:hAnsi="Trade Gothic;sans-serif"/>
                  <w:b w:val="false"/>
                  <w:color w:val="000080"/>
                  <w:sz w:val="19"/>
                  <w:u w:val="single"/>
                </w:rPr>
                <w:t>Form of Common Stock Certificate</w:t>
              </w:r>
            </w:hyperlink>
            <w:hyperlink r:id="rId27">
              <w:r>
                <w:rPr>
                  <w:rStyle w:val="InternetLink"/>
                  <w:rFonts w:ascii="Trade Gothic;sans-serif" w:hAnsi="Trade Gothic;sans-serif"/>
                  <w:b w:val="false"/>
                  <w:color w:val="000080"/>
                  <w:sz w:val="19"/>
                  <w:u w:val="single"/>
                </w:rPr>
                <w:t xml:space="preserve"> </w:t>
              </w:r>
            </w:hyperlink>
            <w:hyperlink r:id="rId28">
              <w:r>
                <w:rPr>
                  <w:rStyle w:val="InternetLink"/>
                  <w:rFonts w:ascii="Trade Gothic;sans-serif" w:hAnsi="Trade Gothic;sans-serif"/>
                  <w:b w:val="false"/>
                  <w:color w:val="000080"/>
                  <w:sz w:val="19"/>
                  <w:u w:val="single"/>
                </w:rPr>
                <w:t xml:space="preserve">(incorporated by reference to Exhibit </w:t>
              </w:r>
            </w:hyperlink>
            <w:hyperlink r:id="rId29">
              <w:r>
                <w:rPr>
                  <w:rStyle w:val="InternetLink"/>
                  <w:rFonts w:ascii="Trade Gothic;sans-serif" w:hAnsi="Trade Gothic;sans-serif"/>
                  <w:b w:val="false"/>
                  <w:color w:val="000080"/>
                  <w:sz w:val="19"/>
                  <w:u w:val="single"/>
                </w:rPr>
                <w:t>4.1</w:t>
              </w:r>
            </w:hyperlink>
            <w:hyperlink r:id="rId30">
              <w:r>
                <w:rPr>
                  <w:rStyle w:val="InternetLink"/>
                  <w:rFonts w:ascii="Trade Gothic;sans-serif" w:hAnsi="Trade Gothic;sans-serif"/>
                  <w:b w:val="false"/>
                  <w:color w:val="000080"/>
                  <w:sz w:val="19"/>
                  <w:u w:val="single"/>
                </w:rPr>
                <w:t xml:space="preserve"> to the Registrant’s </w:t>
              </w:r>
            </w:hyperlink>
            <w:hyperlink r:id="rId31">
              <w:r>
                <w:rPr>
                  <w:rStyle w:val="InternetLink"/>
                  <w:rFonts w:ascii="Trade Gothic;sans-serif" w:hAnsi="Trade Gothic;sans-serif"/>
                  <w:b w:val="false"/>
                  <w:color w:val="000080"/>
                  <w:sz w:val="19"/>
                  <w:u w:val="single"/>
                </w:rPr>
                <w:t>Registration Statement on Form S-1/A</w:t>
              </w:r>
            </w:hyperlink>
            <w:hyperlink r:id="rId32">
              <w:r>
                <w:rPr>
                  <w:rStyle w:val="InternetLink"/>
                  <w:rFonts w:ascii="Trade Gothic;sans-serif" w:hAnsi="Trade Gothic;sans-serif"/>
                  <w:b w:val="false"/>
                  <w:color w:val="000080"/>
                  <w:sz w:val="19"/>
                  <w:u w:val="single"/>
                </w:rPr>
                <w:t xml:space="preserve"> fi</w:t>
              </w:r>
            </w:hyperlink>
            <w:hyperlink r:id="rId33">
              <w:r>
                <w:rPr>
                  <w:rStyle w:val="InternetLink"/>
                  <w:rFonts w:ascii="Trade Gothic;sans-serif" w:hAnsi="Trade Gothic;sans-serif"/>
                  <w:b w:val="false"/>
                  <w:color w:val="000080"/>
                  <w:sz w:val="19"/>
                  <w:u w:val="single"/>
                </w:rPr>
                <w:t xml:space="preserve">led with the SEC on </w:t>
              </w:r>
            </w:hyperlink>
            <w:hyperlink r:id="rId34">
              <w:r>
                <w:rPr>
                  <w:rStyle w:val="InternetLink"/>
                  <w:rFonts w:ascii="Trade Gothic;sans-serif" w:hAnsi="Trade Gothic;sans-serif"/>
                  <w:b w:val="false"/>
                  <w:color w:val="000080"/>
                  <w:sz w:val="19"/>
                  <w:u w:val="single"/>
                </w:rPr>
                <w:t>January 29</w:t>
              </w:r>
            </w:hyperlink>
            <w:hyperlink r:id="rId35">
              <w:r>
                <w:rPr>
                  <w:rStyle w:val="InternetLink"/>
                  <w:rFonts w:ascii="Trade Gothic;sans-serif" w:hAnsi="Trade Gothic;sans-serif"/>
                  <w:b w:val="false"/>
                  <w:color w:val="000080"/>
                  <w:sz w:val="19"/>
                  <w:u w:val="single"/>
                </w:rPr>
                <w:t>, 2026).</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rade Gothic;sans-serif" w:hAnsi="Trade Gothic;sans-serif"/>
                  <w:b w:val="false"/>
                  <w:color w:val="000080"/>
                  <w:sz w:val="19"/>
                  <w:u w:val="single"/>
                </w:rPr>
                <w:t>Amended and Restated Investors’ Rights Agreement by and among the Registrant and certain holders of its capital stock, dated as of May 30, 2025</w:t>
              </w:r>
            </w:hyperlink>
            <w:hyperlink r:id="rId37">
              <w:r>
                <w:rPr>
                  <w:rStyle w:val="InternetLink"/>
                  <w:rFonts w:ascii="Trade Gothic;sans-serif" w:hAnsi="Trade Gothic;sans-serif"/>
                  <w:b w:val="false"/>
                  <w:color w:val="000080"/>
                  <w:sz w:val="19"/>
                  <w:u w:val="single"/>
                </w:rPr>
                <w:t xml:space="preserve"> (incorporated by reference to Exhibit </w:t>
              </w:r>
            </w:hyperlink>
            <w:hyperlink r:id="rId38">
              <w:r>
                <w:rPr>
                  <w:rStyle w:val="InternetLink"/>
                  <w:rFonts w:ascii="Trade Gothic;sans-serif" w:hAnsi="Trade Gothic;sans-serif"/>
                  <w:b w:val="false"/>
                  <w:color w:val="000080"/>
                  <w:sz w:val="19"/>
                  <w:u w:val="single"/>
                </w:rPr>
                <w:t>4.2 to the Registrant</w:t>
              </w:r>
            </w:hyperlink>
            <w:hyperlink r:id="rId39">
              <w:r>
                <w:rPr>
                  <w:rStyle w:val="InternetLink"/>
                  <w:rFonts w:ascii="Trade Gothic;sans-serif" w:hAnsi="Trade Gothic;sans-serif"/>
                  <w:b w:val="false"/>
                  <w:color w:val="000080"/>
                  <w:sz w:val="19"/>
                  <w:u w:val="single"/>
                </w:rPr>
                <w:t>’</w:t>
              </w:r>
            </w:hyperlink>
            <w:hyperlink r:id="rId40">
              <w:r>
                <w:rPr>
                  <w:rStyle w:val="InternetLink"/>
                  <w:rFonts w:ascii="Trade Gothic;sans-serif" w:hAnsi="Trade Gothic;sans-serif"/>
                  <w:b w:val="false"/>
                  <w:color w:val="000080"/>
                  <w:sz w:val="19"/>
                  <w:u w:val="single"/>
                </w:rPr>
                <w:t>s Registra</w:t>
              </w:r>
            </w:hyperlink>
            <w:hyperlink r:id="rId41">
              <w:r>
                <w:rPr>
                  <w:rStyle w:val="InternetLink"/>
                  <w:rFonts w:ascii="Trade Gothic;sans-serif" w:hAnsi="Trade Gothic;sans-serif"/>
                  <w:b w:val="false"/>
                  <w:color w:val="000080"/>
                  <w:sz w:val="19"/>
                  <w:u w:val="single"/>
                </w:rPr>
                <w:t>tion</w:t>
              </w:r>
            </w:hyperlink>
            <w:hyperlink r:id="rId42">
              <w:r>
                <w:rPr>
                  <w:rStyle w:val="InternetLink"/>
                  <w:rFonts w:ascii="Trade Gothic;sans-serif" w:hAnsi="Trade Gothic;sans-serif"/>
                  <w:b w:val="false"/>
                  <w:color w:val="000080"/>
                  <w:sz w:val="19"/>
                  <w:u w:val="single"/>
                </w:rPr>
                <w:t xml:space="preserve"> Statement on Form S-1 filed with the SEC on January 16,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3-10k2025.htm">
              <w:r>
                <w:rPr>
                  <w:rStyle w:val="InternetLink"/>
                  <w:rFonts w:ascii="Trade Gothic;sans-serif" w:hAnsi="Trade Gothic;sans-serif"/>
                  <w:b w:val="false"/>
                  <w:color w:val="0000FF"/>
                  <w:sz w:val="19"/>
                  <w:u w:val="single"/>
                </w:rPr>
                <w:t>Description of Securities</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rade Gothic;sans-serif" w:hAnsi="Trade Gothic;sans-serif"/>
                  <w:b w:val="false"/>
                  <w:color w:val="000080"/>
                  <w:sz w:val="19"/>
                  <w:u w:val="single"/>
                </w:rPr>
                <w:t>Form of Director and Executive Officer Indemnification Agreement</w:t>
              </w:r>
            </w:hyperlink>
            <w:hyperlink r:id="rId44">
              <w:r>
                <w:rPr>
                  <w:rStyle w:val="InternetLink"/>
                  <w:rFonts w:ascii="Trade Gothic;sans-serif" w:hAnsi="Trade Gothic;sans-serif"/>
                  <w:b w:val="false"/>
                  <w:color w:val="000080"/>
                  <w:sz w:val="19"/>
                  <w:u w:val="single"/>
                </w:rPr>
                <w:t xml:space="preserve"> (incorporated by reference to Exhibit 10.1 to the Registrant</w:t>
              </w:r>
            </w:hyperlink>
            <w:hyperlink r:id="rId45">
              <w:r>
                <w:rPr>
                  <w:rStyle w:val="InternetLink"/>
                  <w:rFonts w:ascii="Trade Gothic;sans-serif" w:hAnsi="Trade Gothic;sans-serif"/>
                  <w:b w:val="false"/>
                  <w:color w:val="000080"/>
                  <w:sz w:val="19"/>
                  <w:u w:val="single"/>
                </w:rPr>
                <w:t>’</w:t>
              </w:r>
            </w:hyperlink>
            <w:hyperlink r:id="rId46">
              <w:r>
                <w:rPr>
                  <w:rStyle w:val="InternetLink"/>
                  <w:rFonts w:ascii="Trade Gothic;sans-serif" w:hAnsi="Trade Gothic;sans-serif"/>
                  <w:b w:val="false"/>
                  <w:color w:val="000080"/>
                  <w:sz w:val="19"/>
                  <w:u w:val="single"/>
                </w:rPr>
                <w:t>s</w:t>
              </w:r>
            </w:hyperlink>
            <w:hyperlink r:id="rId47">
              <w:r>
                <w:rPr>
                  <w:rStyle w:val="InternetLink"/>
                  <w:rFonts w:ascii="Trade Gothic;sans-serif" w:hAnsi="Trade Gothic;sans-serif"/>
                  <w:b w:val="false"/>
                  <w:color w:val="000080"/>
                  <w:sz w:val="19"/>
                  <w:u w:val="single"/>
                </w:rPr>
                <w:t xml:space="preserve"> Registra</w:t>
              </w:r>
            </w:hyperlink>
            <w:hyperlink r:id="rId48">
              <w:r>
                <w:rPr>
                  <w:rStyle w:val="InternetLink"/>
                  <w:rFonts w:ascii="Trade Gothic;sans-serif" w:hAnsi="Trade Gothic;sans-serif"/>
                  <w:b w:val="false"/>
                  <w:color w:val="000080"/>
                  <w:sz w:val="19"/>
                  <w:u w:val="single"/>
                </w:rPr>
                <w:t xml:space="preserve">tion Statement on Form S-1 filed with the SEC on January 16,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rade Gothic;sans-serif" w:hAnsi="Trade Gothic;sans-serif"/>
                  <w:b w:val="false"/>
                  <w:color w:val="000080"/>
                  <w:sz w:val="19"/>
                  <w:u w:val="single"/>
                </w:rPr>
                <w:t>2026 Equity Incentive Plan and related form agreements</w:t>
              </w:r>
            </w:hyperlink>
            <w:hyperlink r:id="rId50">
              <w:r>
                <w:rPr>
                  <w:rStyle w:val="InternetLink"/>
                  <w:rFonts w:ascii="Trade Gothic;sans-serif" w:hAnsi="Trade Gothic;sans-serif"/>
                  <w:b w:val="false"/>
                  <w:color w:val="000080"/>
                  <w:sz w:val="19"/>
                  <w:u w:val="single"/>
                </w:rPr>
                <w:t xml:space="preserve"> (incorporated by reference to Exhibit 10.2 to the Registrant</w:t>
              </w:r>
            </w:hyperlink>
            <w:hyperlink r:id="rId51">
              <w:r>
                <w:rPr>
                  <w:rStyle w:val="InternetLink"/>
                  <w:rFonts w:ascii="Trade Gothic;sans-serif" w:hAnsi="Trade Gothic;sans-serif"/>
                  <w:b w:val="false"/>
                  <w:color w:val="000080"/>
                  <w:sz w:val="19"/>
                  <w:u w:val="single"/>
                </w:rPr>
                <w:t>’</w:t>
              </w:r>
            </w:hyperlink>
            <w:hyperlink r:id="rId52">
              <w:r>
                <w:rPr>
                  <w:rStyle w:val="InternetLink"/>
                  <w:rFonts w:ascii="Trade Gothic;sans-serif" w:hAnsi="Trade Gothic;sans-serif"/>
                  <w:b w:val="false"/>
                  <w:color w:val="000080"/>
                  <w:sz w:val="19"/>
                  <w:u w:val="single"/>
                </w:rPr>
                <w:t>s Re</w:t>
              </w:r>
            </w:hyperlink>
            <w:hyperlink r:id="rId53">
              <w:r>
                <w:rPr>
                  <w:rStyle w:val="InternetLink"/>
                  <w:rFonts w:ascii="Trade Gothic;sans-serif" w:hAnsi="Trade Gothic;sans-serif"/>
                  <w:b w:val="false"/>
                  <w:color w:val="000080"/>
                  <w:sz w:val="19"/>
                  <w:u w:val="single"/>
                </w:rPr>
                <w:t xml:space="preserve">gistration Statement on Form S-1/A filed with the SEC on </w:t>
              </w:r>
            </w:hyperlink>
            <w:hyperlink r:id="rId54">
              <w:r>
                <w:rPr>
                  <w:rStyle w:val="InternetLink"/>
                  <w:rFonts w:ascii="Trade Gothic;sans-serif" w:hAnsi="Trade Gothic;sans-serif"/>
                  <w:b w:val="false"/>
                  <w:color w:val="000080"/>
                  <w:sz w:val="19"/>
                  <w:u w:val="single"/>
                </w:rPr>
                <w:t xml:space="preserve">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rade Gothic;sans-serif" w:hAnsi="Trade Gothic;sans-serif"/>
                  <w:b w:val="false"/>
                  <w:color w:val="000080"/>
                  <w:sz w:val="19"/>
                  <w:u w:val="single"/>
                </w:rPr>
                <w:t xml:space="preserve">2026 Employee Stock Purchase Plan </w:t>
              </w:r>
            </w:hyperlink>
            <w:hyperlink r:id="rId56">
              <w:r>
                <w:rPr>
                  <w:rStyle w:val="InternetLink"/>
                  <w:rFonts w:ascii="Trade Gothic;sans-serif" w:hAnsi="Trade Gothic;sans-serif"/>
                  <w:b w:val="false"/>
                  <w:color w:val="000080"/>
                  <w:sz w:val="19"/>
                  <w:u w:val="single"/>
                </w:rPr>
                <w:t>(incorporated by reference to Exhibit 10.</w:t>
              </w:r>
            </w:hyperlink>
            <w:hyperlink r:id="rId57">
              <w:r>
                <w:rPr>
                  <w:rStyle w:val="InternetLink"/>
                  <w:rFonts w:ascii="Trade Gothic;sans-serif" w:hAnsi="Trade Gothic;sans-serif"/>
                  <w:b w:val="false"/>
                  <w:color w:val="000080"/>
                  <w:sz w:val="19"/>
                  <w:u w:val="single"/>
                </w:rPr>
                <w:t>3</w:t>
              </w:r>
            </w:hyperlink>
            <w:hyperlink r:id="rId58">
              <w:r>
                <w:rPr>
                  <w:rStyle w:val="InternetLink"/>
                  <w:rFonts w:ascii="Trade Gothic;sans-serif" w:hAnsi="Trade Gothic;sans-serif"/>
                  <w:b w:val="false"/>
                  <w:color w:val="000080"/>
                  <w:sz w:val="19"/>
                  <w:u w:val="single"/>
                </w:rPr>
                <w:t xml:space="preserve"> to the Registrant’s Registration Statement on Form S-1/A filed with the SEC on 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rade Gothic;sans-serif" w:hAnsi="Trade Gothic;sans-serif"/>
                  <w:b w:val="false"/>
                  <w:color w:val="000080"/>
                  <w:sz w:val="19"/>
                  <w:u w:val="single"/>
                </w:rPr>
                <w:t>Amended and Restated 2019 Equity Incentive Plan, as amended, and related form agreements</w:t>
              </w:r>
            </w:hyperlink>
            <w:hyperlink r:id="rId60">
              <w:r>
                <w:rPr>
                  <w:rStyle w:val="InternetLink"/>
                  <w:rFonts w:ascii="Trade Gothic;sans-serif" w:hAnsi="Trade Gothic;sans-serif"/>
                  <w:b w:val="false"/>
                  <w:color w:val="000080"/>
                  <w:sz w:val="19"/>
                  <w:u w:val="single"/>
                </w:rPr>
                <w:t xml:space="preserve"> (incorporated by </w:t>
              </w:r>
            </w:hyperlink>
            <w:hyperlink r:id="rId61">
              <w:r>
                <w:rPr>
                  <w:rStyle w:val="InternetLink"/>
                  <w:rFonts w:ascii="Trade Gothic;sans-serif" w:hAnsi="Trade Gothic;sans-serif"/>
                  <w:b w:val="false"/>
                  <w:color w:val="000080"/>
                  <w:sz w:val="19"/>
                  <w:u w:val="single"/>
                </w:rPr>
                <w:t>reference to Exhibit 10.4 to the Registrant</w:t>
              </w:r>
            </w:hyperlink>
            <w:hyperlink r:id="rId62">
              <w:r>
                <w:rPr>
                  <w:rStyle w:val="InternetLink"/>
                  <w:rFonts w:ascii="Trade Gothic;sans-serif" w:hAnsi="Trade Gothic;sans-serif"/>
                  <w:b w:val="false"/>
                  <w:color w:val="000080"/>
                  <w:sz w:val="19"/>
                  <w:u w:val="single"/>
                </w:rPr>
                <w:t>’</w:t>
              </w:r>
            </w:hyperlink>
            <w:hyperlink r:id="rId63">
              <w:r>
                <w:rPr>
                  <w:rStyle w:val="InternetLink"/>
                  <w:rFonts w:ascii="Trade Gothic;sans-serif" w:hAnsi="Trade Gothic;sans-serif"/>
                  <w:b w:val="false"/>
                  <w:color w:val="000080"/>
                  <w:sz w:val="19"/>
                  <w:u w:val="single"/>
                </w:rPr>
                <w:t>s Registra</w:t>
              </w:r>
            </w:hyperlink>
            <w:hyperlink r:id="rId64">
              <w:r>
                <w:rPr>
                  <w:rStyle w:val="InternetLink"/>
                  <w:rFonts w:ascii="Trade Gothic;sans-serif" w:hAnsi="Trade Gothic;sans-serif"/>
                  <w:b w:val="false"/>
                  <w:color w:val="000080"/>
                  <w:sz w:val="19"/>
                  <w:u w:val="single"/>
                </w:rPr>
                <w:t xml:space="preserve">tion Statement on Form S-1 filed with the SEC on January 16,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rade Gothic;sans-serif" w:hAnsi="Trade Gothic;sans-serif"/>
                  <w:b w:val="false"/>
                  <w:color w:val="000080"/>
                  <w:sz w:val="19"/>
                  <w:u w:val="single"/>
                </w:rPr>
                <w:t>Outside Director Compensation Policy</w:t>
              </w:r>
            </w:hyperlink>
            <w:hyperlink r:id="rId66">
              <w:r>
                <w:rPr>
                  <w:rStyle w:val="InternetLink"/>
                  <w:rFonts w:ascii="Trade Gothic;sans-serif" w:hAnsi="Trade Gothic;sans-serif"/>
                  <w:b w:val="false"/>
                  <w:color w:val="000080"/>
                  <w:sz w:val="19"/>
                  <w:u w:val="single"/>
                </w:rPr>
                <w:t xml:space="preserve"> (incorporated by reference to Exhibit 10.5 to the Registrant</w:t>
              </w:r>
            </w:hyperlink>
            <w:hyperlink r:id="rId67">
              <w:r>
                <w:rPr>
                  <w:rStyle w:val="InternetLink"/>
                  <w:rFonts w:ascii="Trade Gothic;sans-serif" w:hAnsi="Trade Gothic;sans-serif"/>
                  <w:b w:val="false"/>
                  <w:color w:val="000080"/>
                  <w:sz w:val="19"/>
                  <w:u w:val="single"/>
                </w:rPr>
                <w:t>’</w:t>
              </w:r>
            </w:hyperlink>
            <w:hyperlink r:id="rId68">
              <w:r>
                <w:rPr>
                  <w:rStyle w:val="InternetLink"/>
                  <w:rFonts w:ascii="Trade Gothic;sans-serif" w:hAnsi="Trade Gothic;sans-serif"/>
                  <w:b w:val="false"/>
                  <w:color w:val="000080"/>
                  <w:sz w:val="19"/>
                  <w:u w:val="single"/>
                </w:rPr>
                <w:t xml:space="preserve">s Registration Statement on Form S-1/A filed with the </w:t>
              </w:r>
            </w:hyperlink>
            <w:hyperlink r:id="rId69">
              <w:r>
                <w:rPr>
                  <w:rStyle w:val="InternetLink"/>
                  <w:rFonts w:ascii="Trade Gothic;sans-serif" w:hAnsi="Trade Gothic;sans-serif"/>
                  <w:b w:val="false"/>
                  <w:color w:val="000080"/>
                  <w:sz w:val="19"/>
                  <w:u w:val="single"/>
                </w:rPr>
                <w:t xml:space="preserve">SEC on 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rade Gothic;sans-serif" w:hAnsi="Trade Gothic;sans-serif"/>
                  <w:b w:val="false"/>
                  <w:color w:val="000080"/>
                  <w:sz w:val="19"/>
                  <w:u w:val="single"/>
                </w:rPr>
                <w:t>Employee Incentive Compensation Plan</w:t>
              </w:r>
            </w:hyperlink>
            <w:hyperlink r:id="rId71">
              <w:r>
                <w:rPr>
                  <w:rStyle w:val="InternetLink"/>
                  <w:rFonts w:ascii="Trade Gothic;sans-serif" w:hAnsi="Trade Gothic;sans-serif"/>
                  <w:b w:val="false"/>
                  <w:color w:val="000080"/>
                  <w:sz w:val="19"/>
                  <w:u w:val="single"/>
                </w:rPr>
                <w:t xml:space="preserve"> </w:t>
              </w:r>
            </w:hyperlink>
            <w:hyperlink r:id="rId72">
              <w:r>
                <w:rPr>
                  <w:rStyle w:val="InternetLink"/>
                  <w:rFonts w:ascii="Trade Gothic;sans-serif" w:hAnsi="Trade Gothic;sans-serif"/>
                  <w:b w:val="false"/>
                  <w:color w:val="000080"/>
                  <w:sz w:val="19"/>
                  <w:u w:val="single"/>
                </w:rPr>
                <w:t>(incorporated by reference to Exhibit 10.</w:t>
              </w:r>
            </w:hyperlink>
            <w:hyperlink r:id="rId73">
              <w:r>
                <w:rPr>
                  <w:rStyle w:val="InternetLink"/>
                  <w:rFonts w:ascii="Trade Gothic;sans-serif" w:hAnsi="Trade Gothic;sans-serif"/>
                  <w:b w:val="false"/>
                  <w:color w:val="000080"/>
                  <w:sz w:val="19"/>
                  <w:u w:val="single"/>
                </w:rPr>
                <w:t>6</w:t>
              </w:r>
            </w:hyperlink>
            <w:hyperlink r:id="rId74">
              <w:r>
                <w:rPr>
                  <w:rStyle w:val="InternetLink"/>
                  <w:rFonts w:ascii="Trade Gothic;sans-serif" w:hAnsi="Trade Gothic;sans-serif"/>
                  <w:b w:val="false"/>
                  <w:color w:val="000080"/>
                  <w:sz w:val="19"/>
                  <w:u w:val="single"/>
                </w:rPr>
                <w:t xml:space="preserve"> to the Registrant’s Registration Statement on Form S-1/A filed with the SEC on 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rade Gothic;sans-serif" w:hAnsi="Trade Gothic;sans-serif"/>
                  <w:b w:val="false"/>
                  <w:color w:val="000080"/>
                  <w:sz w:val="19"/>
                  <w:u w:val="single"/>
                </w:rPr>
                <w:t>Confirmatory Employment Letter between the Registrant and Patrick Mooney</w:t>
              </w:r>
            </w:hyperlink>
            <w:hyperlink r:id="rId76">
              <w:r>
                <w:rPr>
                  <w:rStyle w:val="InternetLink"/>
                  <w:rFonts w:ascii="Trade Gothic;sans-serif" w:hAnsi="Trade Gothic;sans-serif"/>
                  <w:b w:val="false"/>
                  <w:color w:val="000080"/>
                  <w:sz w:val="19"/>
                  <w:u w:val="single"/>
                </w:rPr>
                <w:t xml:space="preserve"> </w:t>
              </w:r>
            </w:hyperlink>
            <w:hyperlink r:id="rId77">
              <w:r>
                <w:rPr>
                  <w:rStyle w:val="InternetLink"/>
                  <w:rFonts w:ascii="Trade Gothic;sans-serif" w:hAnsi="Trade Gothic;sans-serif"/>
                  <w:b w:val="false"/>
                  <w:color w:val="000080"/>
                  <w:sz w:val="19"/>
                  <w:u w:val="single"/>
                </w:rPr>
                <w:t>(incorporated by reference to Exhibit 10.</w:t>
              </w:r>
            </w:hyperlink>
            <w:hyperlink r:id="rId78">
              <w:r>
                <w:rPr>
                  <w:rStyle w:val="InternetLink"/>
                  <w:rFonts w:ascii="Trade Gothic;sans-serif" w:hAnsi="Trade Gothic;sans-serif"/>
                  <w:b w:val="false"/>
                  <w:color w:val="000080"/>
                  <w:sz w:val="19"/>
                  <w:u w:val="single"/>
                </w:rPr>
                <w:t>7</w:t>
              </w:r>
            </w:hyperlink>
            <w:hyperlink r:id="rId79">
              <w:r>
                <w:rPr>
                  <w:rStyle w:val="InternetLink"/>
                  <w:rFonts w:ascii="Trade Gothic;sans-serif" w:hAnsi="Trade Gothic;sans-serif"/>
                  <w:b w:val="false"/>
                  <w:color w:val="000080"/>
                  <w:sz w:val="19"/>
                  <w:u w:val="single"/>
                </w:rPr>
                <w:t xml:space="preserve"> to the Registrant’s Registration Statement on Form S-1/A filed with the SEC on 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rade Gothic;sans-serif" w:hAnsi="Trade Gothic;sans-serif"/>
                  <w:b w:val="false"/>
                  <w:color w:val="000080"/>
                  <w:sz w:val="19"/>
                  <w:u w:val="single"/>
                </w:rPr>
                <w:t>Confirmatory Employment Letter between the Registrant and James Dennewill</w:t>
              </w:r>
            </w:hyperlink>
            <w:hyperlink r:id="rId81">
              <w:r>
                <w:rPr>
                  <w:rStyle w:val="InternetLink"/>
                  <w:rFonts w:ascii="Trade Gothic;sans-serif" w:hAnsi="Trade Gothic;sans-serif"/>
                  <w:b w:val="false"/>
                  <w:color w:val="000080"/>
                  <w:sz w:val="19"/>
                  <w:u w:val="single"/>
                </w:rPr>
                <w:t xml:space="preserve"> </w:t>
              </w:r>
            </w:hyperlink>
            <w:hyperlink r:id="rId82">
              <w:r>
                <w:rPr>
                  <w:rStyle w:val="InternetLink"/>
                  <w:rFonts w:ascii="Trade Gothic;sans-serif" w:hAnsi="Trade Gothic;sans-serif"/>
                  <w:b w:val="false"/>
                  <w:color w:val="000080"/>
                  <w:sz w:val="19"/>
                  <w:u w:val="single"/>
                </w:rPr>
                <w:t>(incorporated by reference to Exhibit 10.</w:t>
              </w:r>
            </w:hyperlink>
            <w:hyperlink r:id="rId83">
              <w:r>
                <w:rPr>
                  <w:rStyle w:val="InternetLink"/>
                  <w:rFonts w:ascii="Trade Gothic;sans-serif" w:hAnsi="Trade Gothic;sans-serif"/>
                  <w:b w:val="false"/>
                  <w:color w:val="000080"/>
                  <w:sz w:val="19"/>
                  <w:u w:val="single"/>
                </w:rPr>
                <w:t>8</w:t>
              </w:r>
            </w:hyperlink>
            <w:hyperlink r:id="rId84">
              <w:r>
                <w:rPr>
                  <w:rStyle w:val="InternetLink"/>
                  <w:rFonts w:ascii="Trade Gothic;sans-serif" w:hAnsi="Trade Gothic;sans-serif"/>
                  <w:b w:val="false"/>
                  <w:color w:val="000080"/>
                  <w:sz w:val="19"/>
                  <w:u w:val="single"/>
                </w:rPr>
                <w:t xml:space="preserve"> to the Registrant’s Registration Statement on Form S-1/A filed with the SEC on 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rade Gothic;sans-serif" w:hAnsi="Trade Gothic;sans-serif"/>
                  <w:b w:val="false"/>
                  <w:color w:val="000080"/>
                  <w:sz w:val="19"/>
                  <w:u w:val="single"/>
                </w:rPr>
                <w:t>Confirmatory Employment Letter between the Registrant and Chetan Pujara</w:t>
              </w:r>
            </w:hyperlink>
            <w:hyperlink r:id="rId86">
              <w:r>
                <w:rPr>
                  <w:rStyle w:val="InternetLink"/>
                  <w:rFonts w:ascii="Trade Gothic;sans-serif" w:hAnsi="Trade Gothic;sans-serif"/>
                  <w:b w:val="false"/>
                  <w:color w:val="000080"/>
                  <w:sz w:val="19"/>
                  <w:u w:val="single"/>
                </w:rPr>
                <w:t xml:space="preserve"> </w:t>
              </w:r>
            </w:hyperlink>
            <w:hyperlink r:id="rId87">
              <w:r>
                <w:rPr>
                  <w:rStyle w:val="InternetLink"/>
                  <w:rFonts w:ascii="Trade Gothic;sans-serif" w:hAnsi="Trade Gothic;sans-serif"/>
                  <w:b w:val="false"/>
                  <w:color w:val="000080"/>
                  <w:sz w:val="19"/>
                  <w:u w:val="single"/>
                </w:rPr>
                <w:t>(incorporated by reference to Exhibit 10.</w:t>
              </w:r>
            </w:hyperlink>
            <w:hyperlink r:id="rId88">
              <w:r>
                <w:rPr>
                  <w:rStyle w:val="InternetLink"/>
                  <w:rFonts w:ascii="Trade Gothic;sans-serif" w:hAnsi="Trade Gothic;sans-serif"/>
                  <w:b w:val="false"/>
                  <w:color w:val="000080"/>
                  <w:sz w:val="19"/>
                  <w:u w:val="single"/>
                </w:rPr>
                <w:t>9</w:t>
              </w:r>
            </w:hyperlink>
            <w:hyperlink r:id="rId89">
              <w:r>
                <w:rPr>
                  <w:rStyle w:val="InternetLink"/>
                  <w:rFonts w:ascii="Trade Gothic;sans-serif" w:hAnsi="Trade Gothic;sans-serif"/>
                  <w:b w:val="false"/>
                  <w:color w:val="000080"/>
                  <w:sz w:val="19"/>
                  <w:u w:val="single"/>
                </w:rPr>
                <w:t xml:space="preserve"> to the Registrant’s Registration Statement on Form S-1/A filed with the SEC on 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rade Gothic;sans-serif" w:hAnsi="Trade Gothic;sans-serif"/>
                  <w:b w:val="false"/>
                  <w:color w:val="000080"/>
                  <w:sz w:val="19"/>
                  <w:u w:val="single"/>
                </w:rPr>
                <w:t>Confirmatory Employment Letter between the Registrant and Jean-Frederic Viret</w:t>
              </w:r>
            </w:hyperlink>
            <w:hyperlink r:id="rId91">
              <w:r>
                <w:rPr>
                  <w:rStyle w:val="InternetLink"/>
                  <w:rFonts w:ascii="Trade Gothic;sans-serif" w:hAnsi="Trade Gothic;sans-serif"/>
                  <w:b w:val="false"/>
                  <w:color w:val="000080"/>
                  <w:sz w:val="19"/>
                  <w:u w:val="single"/>
                </w:rPr>
                <w:t xml:space="preserve"> </w:t>
              </w:r>
            </w:hyperlink>
            <w:hyperlink r:id="rId92">
              <w:r>
                <w:rPr>
                  <w:rStyle w:val="InternetLink"/>
                  <w:rFonts w:ascii="Trade Gothic;sans-serif" w:hAnsi="Trade Gothic;sans-serif"/>
                  <w:b w:val="false"/>
                  <w:color w:val="000080"/>
                  <w:sz w:val="19"/>
                  <w:u w:val="single"/>
                </w:rPr>
                <w:t>(incorporated by reference to Exhibit 10.</w:t>
              </w:r>
            </w:hyperlink>
            <w:hyperlink r:id="rId93">
              <w:r>
                <w:rPr>
                  <w:rStyle w:val="InternetLink"/>
                  <w:rFonts w:ascii="Trade Gothic;sans-serif" w:hAnsi="Trade Gothic;sans-serif"/>
                  <w:b w:val="false"/>
                  <w:color w:val="000080"/>
                  <w:sz w:val="19"/>
                  <w:u w:val="single"/>
                </w:rPr>
                <w:t>10</w:t>
              </w:r>
            </w:hyperlink>
            <w:hyperlink r:id="rId94">
              <w:r>
                <w:rPr>
                  <w:rStyle w:val="InternetLink"/>
                  <w:rFonts w:ascii="Trade Gothic;sans-serif" w:hAnsi="Trade Gothic;sans-serif"/>
                  <w:b w:val="false"/>
                  <w:color w:val="000080"/>
                  <w:sz w:val="19"/>
                  <w:u w:val="single"/>
                </w:rPr>
                <w:t xml:space="preserve"> to the Registrant’s Registration Statement on Form S-1/A filed with the SEC on 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rade Gothic;sans-serif" w:hAnsi="Trade Gothic;sans-serif"/>
                  <w:b w:val="false"/>
                  <w:color w:val="000080"/>
                  <w:sz w:val="19"/>
                  <w:u w:val="single"/>
                </w:rPr>
                <w:t>Professional Services Agreement between the Registrant and University Physicians, Inc., d/b/a University of Colorado Medicine, dated February 21, 2019, including the amendments thereto</w:t>
              </w:r>
            </w:hyperlink>
            <w:hyperlink r:id="rId96">
              <w:r>
                <w:rPr>
                  <w:rStyle w:val="InternetLink"/>
                  <w:rFonts w:ascii="Trade Gothic;sans-serif" w:hAnsi="Trade Gothic;sans-serif"/>
                  <w:b w:val="false"/>
                  <w:color w:val="000080"/>
                  <w:sz w:val="19"/>
                  <w:u w:val="single"/>
                </w:rPr>
                <w:t xml:space="preserve"> (incorporated by reference to Exhibit </w:t>
              </w:r>
            </w:hyperlink>
            <w:hyperlink r:id="rId97">
              <w:r>
                <w:rPr>
                  <w:rStyle w:val="InternetLink"/>
                  <w:rFonts w:ascii="Trade Gothic;sans-serif" w:hAnsi="Trade Gothic;sans-serif"/>
                  <w:b w:val="false"/>
                  <w:color w:val="000080"/>
                  <w:sz w:val="19"/>
                  <w:u w:val="single"/>
                </w:rPr>
                <w:t>10.11</w:t>
              </w:r>
            </w:hyperlink>
            <w:hyperlink r:id="rId98">
              <w:r>
                <w:rPr>
                  <w:rStyle w:val="InternetLink"/>
                  <w:rFonts w:ascii="Trade Gothic;sans-serif" w:hAnsi="Trade Gothic;sans-serif"/>
                  <w:b w:val="false"/>
                  <w:color w:val="000080"/>
                  <w:sz w:val="19"/>
                  <w:u w:val="single"/>
                </w:rPr>
                <w:t xml:space="preserve"> t</w:t>
              </w:r>
            </w:hyperlink>
            <w:hyperlink r:id="rId99">
              <w:r>
                <w:rPr>
                  <w:rStyle w:val="InternetLink"/>
                  <w:rFonts w:ascii="Trade Gothic;sans-serif" w:hAnsi="Trade Gothic;sans-serif"/>
                  <w:b w:val="false"/>
                  <w:color w:val="000080"/>
                  <w:sz w:val="19"/>
                  <w:u w:val="single"/>
                </w:rPr>
                <w:t>o the Registrant</w:t>
              </w:r>
            </w:hyperlink>
            <w:hyperlink r:id="rId100">
              <w:r>
                <w:rPr>
                  <w:rStyle w:val="InternetLink"/>
                  <w:rFonts w:ascii="Trade Gothic;sans-serif" w:hAnsi="Trade Gothic;sans-serif"/>
                  <w:b w:val="false"/>
                  <w:color w:val="000080"/>
                  <w:sz w:val="19"/>
                  <w:u w:val="single"/>
                </w:rPr>
                <w:t>’</w:t>
              </w:r>
            </w:hyperlink>
            <w:hyperlink r:id="rId101">
              <w:r>
                <w:rPr>
                  <w:rStyle w:val="InternetLink"/>
                  <w:rFonts w:ascii="Trade Gothic;sans-serif" w:hAnsi="Trade Gothic;sans-serif"/>
                  <w:b w:val="false"/>
                  <w:color w:val="000080"/>
                  <w:sz w:val="19"/>
                  <w:u w:val="single"/>
                </w:rPr>
                <w:t xml:space="preserve">s Registration Statement on Form S-1 </w:t>
              </w:r>
            </w:hyperlink>
            <w:hyperlink r:id="rId102">
              <w:r>
                <w:rPr>
                  <w:rStyle w:val="InternetLink"/>
                  <w:rFonts w:ascii="Trade Gothic;sans-serif" w:hAnsi="Trade Gothic;sans-serif"/>
                  <w:b w:val="false"/>
                  <w:color w:val="000080"/>
                  <w:sz w:val="19"/>
                  <w:u w:val="single"/>
                </w:rPr>
                <w:t>filed with the SEC on January 16, 2026).</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rade Gothic;sans-serif" w:hAnsi="Trade Gothic;sans-serif"/>
                  <w:b w:val="false"/>
                  <w:color w:val="000080"/>
                  <w:sz w:val="19"/>
                  <w:u w:val="single"/>
                </w:rPr>
                <w:t xml:space="preserve">Change in Control and Severance </w:t>
              </w:r>
            </w:hyperlink>
            <w:hyperlink r:id="rId104">
              <w:r>
                <w:rPr>
                  <w:rStyle w:val="InternetLink"/>
                  <w:rFonts w:ascii="Trade Gothic;sans-serif" w:hAnsi="Trade Gothic;sans-serif"/>
                  <w:b w:val="false"/>
                  <w:color w:val="000080"/>
                  <w:sz w:val="19"/>
                  <w:u w:val="single"/>
                </w:rPr>
                <w:t>Plan and related form participation agreement (incorporated by reference to Exhibit 10.</w:t>
              </w:r>
            </w:hyperlink>
            <w:hyperlink r:id="rId105">
              <w:r>
                <w:rPr>
                  <w:rStyle w:val="InternetLink"/>
                  <w:rFonts w:ascii="Trade Gothic;sans-serif" w:hAnsi="Trade Gothic;sans-serif"/>
                  <w:b w:val="false"/>
                  <w:color w:val="000080"/>
                  <w:sz w:val="19"/>
                  <w:u w:val="single"/>
                </w:rPr>
                <w:t>12 to t</w:t>
              </w:r>
            </w:hyperlink>
            <w:hyperlink r:id="rId106">
              <w:r>
                <w:rPr>
                  <w:rStyle w:val="InternetLink"/>
                  <w:rFonts w:ascii="Trade Gothic;sans-serif" w:hAnsi="Trade Gothic;sans-serif"/>
                  <w:b w:val="false"/>
                  <w:color w:val="000080"/>
                  <w:sz w:val="19"/>
                  <w:u w:val="single"/>
                </w:rPr>
                <w:t>he Registrant</w:t>
              </w:r>
            </w:hyperlink>
            <w:hyperlink r:id="rId107">
              <w:r>
                <w:rPr>
                  <w:rStyle w:val="InternetLink"/>
                  <w:rFonts w:ascii="Trade Gothic;sans-serif" w:hAnsi="Trade Gothic;sans-serif"/>
                  <w:b w:val="false"/>
                  <w:color w:val="000080"/>
                  <w:sz w:val="19"/>
                  <w:u w:val="single"/>
                </w:rPr>
                <w:t>’</w:t>
              </w:r>
            </w:hyperlink>
            <w:hyperlink r:id="rId108">
              <w:r>
                <w:rPr>
                  <w:rStyle w:val="InternetLink"/>
                  <w:rFonts w:ascii="Trade Gothic;sans-serif" w:hAnsi="Trade Gothic;sans-serif"/>
                  <w:b w:val="false"/>
                  <w:color w:val="000080"/>
                  <w:sz w:val="19"/>
                  <w:u w:val="single"/>
                </w:rPr>
                <w:t xml:space="preserve">s Registration Statement on Form S-1/A filed with the SEC on January 29,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Trade Gothic;sans-serif" w:hAnsi="Trade Gothic;sans-serif"/>
                  <w:b w:val="false"/>
                  <w:color w:val="000080"/>
                  <w:sz w:val="19"/>
                  <w:u w:val="single"/>
                </w:rPr>
                <w:t>Exclusive License Agreement by and between the Registrant and the Regents of the University of Colorado, dated March 4, 2020, as amended by the First Amendment to the Exclusive License Agreement dated December 9, 2020, the Second Amendment to the Exclusive License Agreement dated May 22, 2023, and the Third Amendment to the Exclusive License Agreement dated October 16, 2025</w:t>
              </w:r>
            </w:hyperlink>
            <w:hyperlink r:id="rId110">
              <w:r>
                <w:rPr>
                  <w:rStyle w:val="InternetLink"/>
                  <w:rFonts w:ascii="Trade Gothic;sans-serif" w:hAnsi="Trade Gothic;sans-serif"/>
                  <w:b w:val="false"/>
                  <w:color w:val="000080"/>
                  <w:sz w:val="19"/>
                  <w:u w:val="single"/>
                </w:rPr>
                <w:t xml:space="preserve"> </w:t>
              </w:r>
            </w:hyperlink>
            <w:hyperlink r:id="rId111">
              <w:r>
                <w:rPr>
                  <w:rStyle w:val="InternetLink"/>
                  <w:rFonts w:ascii="Trade Gothic;sans-serif" w:hAnsi="Trade Gothic;sans-serif"/>
                  <w:b w:val="false"/>
                  <w:color w:val="000080"/>
                  <w:sz w:val="19"/>
                  <w:u w:val="single"/>
                </w:rPr>
                <w:t>(incorporated by reference to Exhibit 10.</w:t>
              </w:r>
            </w:hyperlink>
            <w:hyperlink r:id="rId112">
              <w:r>
                <w:rPr>
                  <w:rStyle w:val="InternetLink"/>
                  <w:rFonts w:ascii="Trade Gothic;sans-serif" w:hAnsi="Trade Gothic;sans-serif"/>
                  <w:b w:val="false"/>
                  <w:color w:val="000080"/>
                  <w:sz w:val="19"/>
                  <w:u w:val="single"/>
                </w:rPr>
                <w:t>16</w:t>
              </w:r>
            </w:hyperlink>
            <w:hyperlink r:id="rId113">
              <w:r>
                <w:rPr>
                  <w:rStyle w:val="InternetLink"/>
                  <w:rFonts w:ascii="Trade Gothic;sans-serif" w:hAnsi="Trade Gothic;sans-serif"/>
                  <w:b w:val="false"/>
                  <w:color w:val="000080"/>
                  <w:sz w:val="19"/>
                  <w:u w:val="single"/>
                </w:rPr>
                <w:t xml:space="preserve"> to the Registrant’s Registration Statement on Form S-1 filed with the SEC on January 16, 2026). </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1-10k2025.htm">
              <w:r>
                <w:rPr>
                  <w:rStyle w:val="InternetLink"/>
                  <w:rFonts w:ascii="Trade Gothic;sans-serif" w:hAnsi="Trade Gothic;sans-serif"/>
                  <w:b w:val="false"/>
                  <w:color w:val="0000FF"/>
                  <w:sz w:val="19"/>
                  <w:u w:val="single"/>
                </w:rPr>
                <w:t>Insider Trading Policy</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4">
              <w:r>
                <w:rPr>
                  <w:rStyle w:val="InternetLink"/>
                  <w:rFonts w:ascii="Trade Gothic;sans-serif" w:hAnsi="Trade Gothic;sans-serif"/>
                  <w:b w:val="false"/>
                  <w:color w:val="000080"/>
                  <w:sz w:val="19"/>
                  <w:u w:val="single"/>
                </w:rPr>
                <w:t>List of Subsidiaries of the Registrant</w:t>
              </w:r>
            </w:hyperlink>
            <w:hyperlink r:id="rId115">
              <w:r>
                <w:rPr>
                  <w:rStyle w:val="InternetLink"/>
                  <w:rFonts w:ascii="Trade Gothic;sans-serif" w:hAnsi="Trade Gothic;sans-serif"/>
                  <w:b w:val="false"/>
                  <w:color w:val="000080"/>
                  <w:sz w:val="19"/>
                  <w:u w:val="single"/>
                </w:rPr>
                <w:t xml:space="preserve"> (incorporated by reference to Exhibit 21.1 to the Registrant</w:t>
              </w:r>
            </w:hyperlink>
            <w:hyperlink r:id="rId116">
              <w:r>
                <w:rPr>
                  <w:rStyle w:val="InternetLink"/>
                  <w:rFonts w:ascii="Trade Gothic;sans-serif" w:hAnsi="Trade Gothic;sans-serif"/>
                  <w:b w:val="false"/>
                  <w:color w:val="000080"/>
                  <w:sz w:val="19"/>
                  <w:u w:val="single"/>
                </w:rPr>
                <w:t>’</w:t>
              </w:r>
            </w:hyperlink>
            <w:hyperlink r:id="rId117">
              <w:r>
                <w:rPr>
                  <w:rStyle w:val="InternetLink"/>
                  <w:rFonts w:ascii="Trade Gothic;sans-serif" w:hAnsi="Trade Gothic;sans-serif"/>
                  <w:b w:val="false"/>
                  <w:color w:val="000080"/>
                  <w:sz w:val="19"/>
                  <w:u w:val="single"/>
                </w:rPr>
                <w:t>s Registration Statement on Form S-1</w:t>
              </w:r>
            </w:hyperlink>
            <w:hyperlink r:id="rId118">
              <w:r>
                <w:rPr>
                  <w:rStyle w:val="InternetLink"/>
                  <w:rFonts w:ascii="Trade Gothic;sans-serif" w:hAnsi="Trade Gothic;sans-serif"/>
                  <w:b w:val="false"/>
                  <w:color w:val="000080"/>
                  <w:sz w:val="19"/>
                  <w:u w:val="single"/>
                </w:rPr>
                <w:t>/</w:t>
              </w:r>
            </w:hyperlink>
            <w:hyperlink r:id="rId119">
              <w:r>
                <w:rPr>
                  <w:rStyle w:val="InternetLink"/>
                  <w:rFonts w:ascii="Trade Gothic;sans-serif" w:hAnsi="Trade Gothic;sans-serif"/>
                  <w:b w:val="false"/>
                  <w:color w:val="000080"/>
                  <w:sz w:val="19"/>
                  <w:u w:val="single"/>
                </w:rPr>
                <w:t xml:space="preserve">A </w:t>
              </w:r>
            </w:hyperlink>
            <w:hyperlink r:id="rId120">
              <w:r>
                <w:rPr>
                  <w:rStyle w:val="InternetLink"/>
                  <w:rFonts w:ascii="Trade Gothic;sans-serif" w:hAnsi="Trade Gothic;sans-serif"/>
                  <w:b w:val="false"/>
                  <w:color w:val="000080"/>
                  <w:sz w:val="19"/>
                  <w:u w:val="single"/>
                </w:rPr>
                <w:t>filed with th</w:t>
              </w:r>
            </w:hyperlink>
            <w:hyperlink r:id="rId121">
              <w:r>
                <w:rPr>
                  <w:rStyle w:val="InternetLink"/>
                  <w:rFonts w:ascii="Trade Gothic;sans-serif" w:hAnsi="Trade Gothic;sans-serif"/>
                  <w:b w:val="false"/>
                  <w:color w:val="000080"/>
                  <w:sz w:val="19"/>
                  <w:u w:val="single"/>
                </w:rPr>
                <w:t xml:space="preserve">e SEC on January 29, 2026). </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0335"/>
                <wp:effectExtent l="0" t="0" r="0" b="0"/>
                <wp:wrapNone/>
                <wp:docPr id="192" name="Frame17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147</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tbl>
      <w:tblPr>
        <w:tblW w:w="10205" w:type="dxa"/>
        <w:jc w:val="left"/>
        <w:tblInd w:w="0" w:type="dxa"/>
        <w:tblLayout w:type="fixed"/>
        <w:tblCellMar>
          <w:top w:w="28" w:type="dxa"/>
          <w:left w:w="28" w:type="dxa"/>
          <w:bottom w:w="28" w:type="dxa"/>
          <w:right w:w="28" w:type="dxa"/>
        </w:tblCellMar>
      </w:tblPr>
      <w:tblGrid>
        <w:gridCol w:w="401"/>
        <w:gridCol w:w="354"/>
        <w:gridCol w:w="355"/>
        <w:gridCol w:w="109"/>
        <w:gridCol w:w="109"/>
        <w:gridCol w:w="109"/>
        <w:gridCol w:w="2768"/>
        <w:gridCol w:w="2478"/>
        <w:gridCol w:w="3522"/>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Description</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10k2025.htm">
              <w:r>
                <w:rPr>
                  <w:rStyle w:val="InternetLink"/>
                  <w:rFonts w:ascii="Trade Gothic;sans-serif" w:hAnsi="Trade Gothic;sans-serif"/>
                  <w:b w:val="false"/>
                  <w:color w:val="0000FF"/>
                  <w:sz w:val="19"/>
                  <w:u w:val="single"/>
                </w:rPr>
                <w:t>Consent of Deloitte &amp; Touche LLP, Independent Registered Public Accounting Firm</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k2025.htm">
              <w:r>
                <w:rPr>
                  <w:rStyle w:val="InternetLink"/>
                  <w:rFonts w:ascii="Trade Gothic;sans-serif" w:hAnsi="Trade Gothic;sans-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k2025.htm">
              <w:r>
                <w:rPr>
                  <w:rStyle w:val="InternetLink"/>
                  <w:rFonts w:ascii="Trade Gothic;sans-serif" w:hAnsi="Trade Gothic;sans-serif"/>
                  <w:b w:val="false"/>
                  <w:color w:val="0000FF"/>
                  <w:sz w:val="19"/>
                  <w:u w:val="single"/>
                </w:rPr>
                <w:t>Certification of Chief Financial Officer pursuant to Rule 13a-14(a) and Rule 15d-14(a) of the Securities Exchange Act of 1934, as amended, as adopted pursuant to Section 302 of the Sarbanes-Oxley Act of 2002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val="false"/>
                <w:color w:val="000000"/>
                <w:sz w:val="19"/>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k2025.htm">
              <w:r>
                <w:rPr>
                  <w:rStyle w:val="InternetLink"/>
                  <w:rFonts w:ascii="Trade Gothic;sans-serif" w:hAnsi="Trade Gothic;sans-serif"/>
                  <w:b w:val="false"/>
                  <w:color w:val="0000FF"/>
                  <w:sz w:val="19"/>
                  <w:u w:val="single"/>
                </w:rPr>
                <w:t>Certification of Chief Executive Officer pursuant to 18 U.S.C. Section 1350 as adopted pursuant to Section 906 of the Sarbanes-Oxley Act of 2002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val="false"/>
                <w:color w:val="000000"/>
                <w:sz w:val="19"/>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k2025.htm">
              <w:r>
                <w:rPr>
                  <w:rStyle w:val="InternetLink"/>
                  <w:rFonts w:ascii="Trade Gothic;sans-serif" w:hAnsi="Trade Gothic;sans-serif"/>
                  <w:b w:val="false"/>
                  <w:color w:val="0000FF"/>
                  <w:sz w:val="19"/>
                  <w:u w:val="single"/>
                </w:rPr>
                <w:t>Certification of Chief Financial Officer pursuant to 18 U.S.C. Section 1350 as adopted pursuant to Section 906 of the Sarbanes-Oxley Act of 2002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10k2025.htm">
              <w:r>
                <w:rPr>
                  <w:rStyle w:val="InternetLink"/>
                  <w:rFonts w:ascii="Trade Gothic;sans-serif" w:hAnsi="Trade Gothic;sans-serif"/>
                  <w:b w:val="false"/>
                  <w:color w:val="000080"/>
                  <w:sz w:val="19"/>
                  <w:u w:val="single"/>
                </w:rPr>
                <w:t>C</w:t>
              </w:r>
            </w:hyperlink>
            <w:hyperlink w:anchor="exhibit971-10k2025.htm">
              <w:r>
                <w:rPr>
                  <w:rStyle w:val="InternetLink"/>
                  <w:rFonts w:ascii="Trade Gothic;sans-serif" w:hAnsi="Trade Gothic;sans-serif"/>
                  <w:b w:val="false"/>
                  <w:color w:val="000080"/>
                  <w:sz w:val="19"/>
                  <w:u w:val="single"/>
                </w:rPr>
                <w:t>o</w:t>
              </w:r>
            </w:hyperlink>
            <w:hyperlink w:anchor="exhibit971-10k2025.htm">
              <w:r>
                <w:rPr>
                  <w:rStyle w:val="InternetLink"/>
                  <w:rFonts w:ascii="Trade Gothic;sans-serif" w:hAnsi="Trade Gothic;sans-serif"/>
                  <w:b w:val="false"/>
                  <w:color w:val="000080"/>
                  <w:sz w:val="19"/>
                  <w:u w:val="single"/>
                </w:rPr>
                <w:t>mpensation Recovery Policy</w:t>
              </w:r>
            </w:hyperlink>
          </w:p>
        </w:tc>
      </w:tr>
    </w:tbl>
    <w:p>
      <w:pPr>
        <w:pStyle w:val="TextBody"/>
        <w:bidi w:val="0"/>
        <w:spacing w:lineRule="auto" w:line="288" w:before="0" w:after="0"/>
        <w:ind w:left="0" w:right="0" w:hanging="360"/>
        <w:jc w:val="left"/>
        <w:rPr>
          <w:rFonts w:ascii="Trade Gothic;sans-serif" w:hAnsi="Trade Gothic;sans-serif"/>
          <w:b w:val="false"/>
          <w:color w:val="000000"/>
          <w:sz w:val="17"/>
        </w:rPr>
      </w:pPr>
      <w:r>
        <w:rPr>
          <w:rFonts w:ascii="Trade Gothic;sans-serif" w:hAnsi="Trade Gothic;sans-serif"/>
          <w:b w:val="false"/>
          <w:color w:val="000000"/>
          <w:sz w:val="17"/>
        </w:rPr>
        <w:t>+Indicates management contract or compensatory plan.</w:t>
      </w:r>
    </w:p>
    <w:p>
      <w:pPr>
        <w:pStyle w:val="TextBody"/>
        <w:bidi w:val="0"/>
        <w:spacing w:lineRule="auto" w:line="288" w:before="0" w:after="0"/>
        <w:ind w:left="0" w:right="0" w:hanging="360"/>
        <w:jc w:val="left"/>
        <w:rPr>
          <w:rFonts w:ascii="Trade Gothic;sans-serif" w:hAnsi="Trade Gothic;sans-serif"/>
          <w:b w:val="false"/>
          <w:color w:val="000000"/>
          <w:sz w:val="17"/>
        </w:rPr>
      </w:pPr>
      <w:r>
        <w:rPr>
          <w:rFonts w:ascii="Trade Gothic;sans-serif" w:hAnsi="Trade Gothic;sans-serif"/>
          <w:b w:val="false"/>
          <w:color w:val="000000"/>
          <w:sz w:val="17"/>
        </w:rPr>
        <w:t>^Portions of this exhibit have been omitted pursuant to Item 601(b)(10)(iv) of Regulation S-K.</w:t>
      </w:r>
    </w:p>
    <w:p>
      <w:pPr>
        <w:pStyle w:val="TextBody"/>
        <w:bidi w:val="0"/>
        <w:spacing w:lineRule="auto" w:line="288" w:before="0" w:after="0"/>
        <w:ind w:left="0" w:right="0" w:hanging="360"/>
        <w:jc w:val="left"/>
        <w:rPr>
          <w:rFonts w:ascii="Trade Gothic;sans-serif" w:hAnsi="Trade Gothic;sans-serif"/>
          <w:b w:val="false"/>
          <w:color w:val="000000"/>
          <w:sz w:val="17"/>
        </w:rPr>
      </w:pPr>
      <w:r>
        <w:rPr>
          <w:rFonts w:ascii="Trade Gothic;sans-serif" w:hAnsi="Trade Gothic;sans-serif"/>
          <w:b w:val="false"/>
          <w:color w:val="000000"/>
          <w:sz w:val="17"/>
        </w:rPr>
        <w:t>*Filed herewith.</w:t>
      </w:r>
    </w:p>
    <w:p>
      <w:pPr>
        <w:pStyle w:val="TextBody"/>
        <w:bidi w:val="0"/>
        <w:spacing w:lineRule="auto" w:line="288" w:before="0" w:after="240"/>
        <w:ind w:left="0" w:right="0" w:hanging="360"/>
        <w:jc w:val="left"/>
        <w:rPr>
          <w:color w:val="000000"/>
        </w:rPr>
      </w:pPr>
      <w:r>
        <w:rPr>
          <w:color w:val="000000"/>
        </w:rPr>
        <w:t>†     </w:t>
      </w:r>
      <w:r>
        <w:rPr>
          <w:rFonts w:ascii="Trade Gothic;sans-serif" w:hAnsi="Trade Gothic;sans-serif"/>
          <w:b w:val="false"/>
          <w:color w:val="000000"/>
          <w:sz w:val="17"/>
        </w:rPr>
        <w:t>The certifications attached as Exhibit 32.1 and 32.2 that accompany this Annual Report on Form 10-K are deemed furnished and not filed with the Securities and Exchange Commission and are not to be incorporated by reference into any filing of SpyGlass Pharma, Inc. under the Securities Act of 1933, as amended, or the Securities Exchange Act of 1934, as amended,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rade Gothic;sans-serif" w:hAnsi="Trade Gothic;sans-serif"/>
          <w:b/>
          <w:color w:val="000000"/>
          <w:sz w:val="20"/>
        </w:rPr>
        <w:t xml:space="preserve">Item 16. </w:t>
      </w:r>
      <w:hyperlink w:anchor="ifaf54775e85441fc836f60bc7c4f1464_169">
        <w:r>
          <w:rPr>
            <w:rStyle w:val="InternetLink"/>
            <w:rFonts w:ascii="Trade Gothic;sans-serif" w:hAnsi="Trade Gothic;sans-serif"/>
            <w:b/>
            <w:strike w:val="false"/>
            <w:dstrike w:val="false"/>
            <w:color w:val="000000"/>
            <w:sz w:val="20"/>
            <w:u w:val="none"/>
            <w:effect w:val="none"/>
          </w:rPr>
          <w:t>Form 10-K Summary</w:t>
        </w:r>
      </w:hyperlink>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0335"/>
                <wp:effectExtent l="0" t="0" r="0" b="0"/>
                <wp:wrapNone/>
                <wp:docPr id="193" name="Frame17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148</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SIGNATURES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Act of 1933, the registrant has duly caused this registration statement to be signed on its behalf by the undersigned, thereunto duly authorized in the City of Aliso Viejo, State of California, on March 26, 2026.</w:t>
      </w:r>
    </w:p>
    <w:tbl>
      <w:tblPr>
        <w:tblW w:w="4491" w:type="dxa"/>
        <w:jc w:val="left"/>
        <w:tblInd w:w="0" w:type="dxa"/>
        <w:tblLayout w:type="fixed"/>
        <w:tblCellMar>
          <w:top w:w="28" w:type="dxa"/>
          <w:left w:w="28" w:type="dxa"/>
          <w:bottom w:w="28" w:type="dxa"/>
          <w:right w:w="28" w:type="dxa"/>
        </w:tblCellMar>
      </w:tblPr>
      <w:tblGrid>
        <w:gridCol w:w="124"/>
        <w:gridCol w:w="109"/>
        <w:gridCol w:w="109"/>
        <w:gridCol w:w="479"/>
        <w:gridCol w:w="479"/>
        <w:gridCol w:w="479"/>
        <w:gridCol w:w="779"/>
        <w:gridCol w:w="779"/>
        <w:gridCol w:w="7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SPYGLASS PHARMA,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By:</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20"/>
              </w:rPr>
            </w:pPr>
            <w:r>
              <w:rPr>
                <w:rFonts w:ascii="Trade Gothic;sans-serif" w:hAnsi="Trade Gothic;sans-serif"/>
                <w:b w:val="false"/>
                <w:color w:val="000000"/>
                <w:sz w:val="20"/>
              </w:rPr>
              <w:t>/s/ Patrick Mooney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Patrick Mooney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0335"/>
                <wp:effectExtent l="0" t="0" r="0" b="0"/>
                <wp:wrapNone/>
                <wp:docPr id="194" name="Frame17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149</w:t>
                      </w:r>
                    </w:p>
                  </w:txbxContent>
                </v:textbox>
                <w10:wrap type="none"/>
              </v:rect>
            </w:pict>
          </mc:Fallback>
        </mc:AlternateContent>
      </w:r>
    </w:p>
    <w:p>
      <w:pPr>
        <w:pStyle w:val="TextBody"/>
        <w:bidi w:val="0"/>
        <w:spacing w:lineRule="auto" w:line="288" w:before="0" w:after="0"/>
        <w:jc w:val="left"/>
        <w:rPr/>
      </w:pPr>
      <w:hyperlink w:anchor="ifaf54775e85441fc836f60bc7c4f1464_7">
        <w:r>
          <w:rPr>
            <w:rStyle w:val="InternetLink"/>
          </w:rPr>
          <w:t>Tab</w:t>
        </w:r>
      </w:hyperlink>
      <w:hyperlink w:anchor="ifaf54775e85441fc836f60bc7c4f1464_7">
        <w:r>
          <w:rPr>
            <w:rStyle w:val="InternetLink"/>
          </w:rPr>
          <w:t>l</w:t>
        </w:r>
      </w:hyperlink>
      <w:hyperlink w:anchor="ifaf54775e85441fc836f60bc7c4f1464_7">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POWER OF ATTORNEY</w:t>
      </w:r>
    </w:p>
    <w:p>
      <w:pPr>
        <w:pStyle w:val="TextBody"/>
        <w:bidi w:val="0"/>
        <w:spacing w:lineRule="auto" w:line="288" w:before="0" w:after="240"/>
        <w:jc w:val="left"/>
        <w:rPr/>
      </w:pPr>
      <w:r>
        <w:rPr>
          <w:rFonts w:ascii="Trade Gothic;sans-serif" w:hAnsi="Trade Gothic;sans-serif"/>
          <w:b w:val="false"/>
          <w:color w:val="000000"/>
          <w:sz w:val="19"/>
        </w:rPr>
        <w:t>KNOW ALL PERSONS BY THESE PRESENTS, that each person whose signature appears below hereby constitutes and appoints Patrick Mooney and Jean-Frédéric Viret</w:t>
      </w:r>
      <w:r>
        <w:rPr>
          <w:rFonts w:ascii="Trade Gothic;sans-serif" w:hAnsi="Trade Gothic;sans-serif"/>
          <w:b w:val="false"/>
          <w:color w:val="000000"/>
          <w:sz w:val="19"/>
          <w:shd w:fill="FFFFFF" w:val="clear"/>
        </w:rPr>
        <w:t>, Ph.D.</w:t>
      </w:r>
      <w:r>
        <w:rPr>
          <w:rFonts w:ascii="Trade Gothic;sans-serif" w:hAnsi="Trade Gothic;sans-serif"/>
          <w:b w:val="false"/>
          <w:color w:val="000000"/>
          <w:sz w:val="19"/>
        </w:rPr>
        <w:t>,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Exchange Act of 1934, as amended, this report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999"/>
        <w:gridCol w:w="846"/>
        <w:gridCol w:w="848"/>
        <w:gridCol w:w="109"/>
        <w:gridCol w:w="109"/>
        <w:gridCol w:w="109"/>
        <w:gridCol w:w="1758"/>
        <w:gridCol w:w="1747"/>
        <w:gridCol w:w="1768"/>
        <w:gridCol w:w="109"/>
        <w:gridCol w:w="109"/>
        <w:gridCol w:w="109"/>
        <w:gridCol w:w="461"/>
        <w:gridCol w:w="461"/>
        <w:gridCol w:w="663"/>
      </w:tblGrid>
      <w:tr>
        <w:trPr/>
        <w:tc>
          <w:tcPr>
            <w:tcW w:w="99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Signature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Title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Date</w:t>
            </w:r>
          </w:p>
        </w:tc>
      </w:tr>
      <w:tr>
        <w:trPr/>
        <w:tc>
          <w:tcPr>
            <w:tcW w:w="2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Patrick Mooney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Jean-Frédéric Viret,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 xml:space="preserve">Chief Financial Officer </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Jean-Frédéric Viret,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Malik Y. Kahook,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President, Chief Medical Officer, Executive Chair,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Malik Y. Kahook,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Ali Behbahani,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Ali Behbahani,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Michael Dybbs,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Michael Dybbs,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Bilal Khan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Bilal Khan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Elizabeth O’Farrell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Elizabeth O’Farrell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Geoff Pardo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Geoff Pardo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Kirk Nielsen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Kirk Nielsen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Zach Scheiner,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Zach Scheiner,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Habib Dable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restart"/>
            <w:tcBorders/>
            <w:tcMar>
              <w:top w:w="0" w:type="dxa"/>
              <w:left w:w="0" w:type="dxa"/>
              <w:bottom w:w="0" w:type="dxa"/>
              <w:right w:w="0" w:type="dxa"/>
            </w:tcMar>
            <w:vAlign w:val="center"/>
          </w:tcPr>
          <w:p>
            <w:pPr>
              <w:pStyle w:val="TableContents"/>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March 26, 2026</w:t>
            </w:r>
          </w:p>
        </w:tc>
      </w:tr>
      <w:tr>
        <w:trPr/>
        <w:tc>
          <w:tcPr>
            <w:tcW w:w="2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20"/>
              </w:rPr>
            </w:pPr>
            <w:r>
              <w:rPr>
                <w:rFonts w:ascii="Trade Gothic;sans-serif" w:hAnsi="Trade Gothic;sans-serif"/>
                <w:b w:val="false"/>
                <w:color w:val="000000"/>
                <w:sz w:val="20"/>
              </w:rPr>
              <w:t>Habib Dable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4.3</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0335"/>
                <wp:effectExtent l="0" t="0" r="0" b="0"/>
                <wp:wrapNone/>
                <wp:docPr id="195" name="Frame18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150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DESCRIPTION OF THE REGISTRANT’S SECURITIES</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 xml:space="preserve">REGISTERED PURSUANT TO SECTION 12 OF THE </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333" w:before="240" w:after="80"/>
        <w:jc w:val="left"/>
        <w:rPr>
          <w:rFonts w:ascii="Times New Roman;serif" w:hAnsi="Times New Roman;serif"/>
          <w:b w:val="false"/>
          <w:color w:val="000000"/>
          <w:sz w:val="22"/>
        </w:rPr>
      </w:pPr>
      <w:r>
        <w:rPr>
          <w:rFonts w:ascii="Times New Roman;serif" w:hAnsi="Times New Roman;serif"/>
          <w:b w:val="false"/>
          <w:color w:val="000000"/>
          <w:sz w:val="22"/>
        </w:rPr>
        <w:t>The following description of the capital stock of SpyGlass Pharma, Inc. (the “Company,” “we,” “us,” and “our”) is a summary of certain provisions of the securities that are registered under Section 12 of the Securities and Exchange Act of 1934, as amended, and does not purport to be complete. It is subject to and qualified in its entirety by reference to our Amended and Restated Certificate of Incorporation (“Certificate of Incorporation”) and our Amended and Restated Bylaws (“Bylaws”), each of which are incorporated by reference as an exhibit to the Annual Report on Form 10-K of which this exhibit is a part, and by applicable law. We encourage you to read our Certificate of Incorporation, our Bylaws and the applicable provisions of the Delaware General Corporation Law (“DGCL”) for additional information.</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Authorized Capital Stock</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Our authorized capital stock consists of 1,200,000,000 shares of capital stock, $0.00001 par value per share, consisting of 1,000,000,000 shares of common stock and 200,000,000 shares of preferred stock.</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Dividend Rights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No Preemptive or Similar Rights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Our common stock is not entitled to preemptive rights, and is not subject to conversion, redemption or sinking fund provisions.</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Voting Rights</w:t>
      </w:r>
    </w:p>
    <w:p>
      <w:pPr>
        <w:pStyle w:val="TextBody"/>
        <w:bidi w:val="0"/>
        <w:spacing w:lineRule="auto" w:line="333" w:before="0" w:after="2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Holders of our common stock are entitled to one vote for each share held as of the applicable record date on all matters submitted to a vote of stockholders.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stock exchange on which our securities are listed.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pStyle w:val="TextBody"/>
        <w:bidi w:val="0"/>
        <w:spacing w:before="0" w:after="12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0335"/>
                <wp:effectExtent l="0" t="0" r="0" b="0"/>
                <wp:wrapNone/>
                <wp:docPr id="196" name="Frame18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1</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Our Certificate of Incorporation and Bylaws provide for a classified board of directors consisting of three classes of approximately equal size, each serving staggered three-year terms. Only the directors in one class will be elected at each annual meeting of our stockholders, with the directors in the other classes continuing for the remainder of their respective three-year terms.</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Liquidation Rights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Our board of directors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Registration Rights</w:t>
      </w:r>
    </w:p>
    <w:p>
      <w:pPr>
        <w:pStyle w:val="TextBody"/>
        <w:bidi w:val="0"/>
        <w:spacing w:lineRule="auto" w:line="333" w:before="80" w:after="40"/>
        <w:jc w:val="left"/>
        <w:rPr>
          <w:rFonts w:ascii="Times New Roman;serif" w:hAnsi="Times New Roman;serif"/>
          <w:b w:val="false"/>
          <w:color w:val="000000"/>
          <w:sz w:val="22"/>
        </w:rPr>
      </w:pPr>
      <w:r>
        <w:rPr>
          <w:rFonts w:ascii="Times New Roman;serif" w:hAnsi="Times New Roman;serif"/>
          <w:b w:val="false"/>
          <w:color w:val="000000"/>
          <w:sz w:val="22"/>
        </w:rPr>
        <w:t>Pursuant to the terms of our Amended and Restated Investors’ Rights Agreement, dated as of May 30, 2025, with certain of our stockholders (the “Investors’ Rights Agreement”), certain of our stockholders are entitled to rights with respect to the registration of their shares (which we refer to herein as “registrable securities”) under the Securities Act of 1933, as amended (the “Securities Act”). The Investors’ Rights Agreement includes demand registration rights, Form S-3 registration rights and piggyback registration rights.</w:t>
      </w:r>
    </w:p>
    <w:p>
      <w:pPr>
        <w:pStyle w:val="TextBody"/>
        <w:bidi w:val="0"/>
        <w:spacing w:before="80" w:after="40"/>
        <w:jc w:val="left"/>
        <w:rPr/>
      </w:pPr>
      <w:r>
        <w:rPr/>
      </w:r>
    </w:p>
    <w:p>
      <w:pPr>
        <w:pStyle w:val="TextBody"/>
        <w:bidi w:val="0"/>
        <w:spacing w:lineRule="auto" w:line="333" w:before="80" w:after="40"/>
        <w:jc w:val="left"/>
        <w:rPr>
          <w:rFonts w:ascii="Times New Roman;serif" w:hAnsi="Times New Roman;serif"/>
          <w:b/>
          <w:i/>
          <w:color w:val="000000"/>
          <w:sz w:val="22"/>
        </w:rPr>
      </w:pPr>
      <w:r>
        <w:rPr>
          <w:rFonts w:ascii="Times New Roman;serif" w:hAnsi="Times New Roman;serif"/>
          <w:b/>
          <w:i/>
          <w:color w:val="000000"/>
          <w:sz w:val="22"/>
        </w:rPr>
        <w:t>Demand Registration Rights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holders of our registrable securities are entitled to demand registration rights. At any time beginning 180 days after the effective date of the registration statement in connection with our initial public offering, the holders of at least a majority of the shares having registration rights then outstanding can request that we file a registration statement on Form S-1 to register the offer and sale of their shares so long as the request covers securities the anticipated aggregate public offering price of which is at least $10 million. We are only obligated to effect two such registrations. These demand registration rights are subject to specified conditions and limitations, including the right of the underwriters to limit the number </w:t>
      </w:r>
    </w:p>
    <w:p>
      <w:pPr>
        <w:pStyle w:val="TextBody"/>
        <w:bidi w:val="0"/>
        <w:spacing w:before="0" w:after="12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0335"/>
                <wp:effectExtent l="0" t="0" r="0" b="0"/>
                <wp:wrapNone/>
                <wp:docPr id="197" name="Frame18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of shares included in any such registration under certain circumstances. If we determine that it would be materially detrimental to us and our stockholders to effect such a demand registration, then we have the right to defer such registration, not more than once in any 12-month period, for a period of not more than 90 days.</w:t>
      </w:r>
    </w:p>
    <w:p>
      <w:pPr>
        <w:pStyle w:val="TextBody"/>
        <w:bidi w:val="0"/>
        <w:spacing w:lineRule="auto" w:line="333" w:before="80" w:after="40"/>
        <w:jc w:val="left"/>
        <w:rPr>
          <w:rFonts w:ascii="Times New Roman;serif" w:hAnsi="Times New Roman;serif"/>
          <w:b/>
          <w:i/>
          <w:color w:val="000000"/>
          <w:sz w:val="22"/>
        </w:rPr>
      </w:pPr>
      <w:r>
        <w:rPr>
          <w:rFonts w:ascii="Times New Roman;serif" w:hAnsi="Times New Roman;serif"/>
          <w:b/>
          <w:i/>
          <w:color w:val="000000"/>
          <w:sz w:val="22"/>
        </w:rPr>
        <w:t>Form S-3 Registration Rights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The holders of our registrable securities are also entitled to Form S-3 registration rights. At any time when we are eligible to file a registration statement on Form S-3, the holders of at least 25% of the shares having these registration rights then outstanding can request that we register the offer and sale of their shares of our common stock on a registration statement on Form S-3 so long as the request covers securities the anticipated aggregate public offering price of which, net of certain selling expenses, is at least $1 million. We are obligated to effect up to two such registrations within any 12 month period. These Form S-3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registration, then we have the right to defer such registration, not more than once in any 12-month period, for a period of not more than 90 days.</w:t>
      </w:r>
    </w:p>
    <w:p>
      <w:pPr>
        <w:pStyle w:val="TextBody"/>
        <w:bidi w:val="0"/>
        <w:spacing w:lineRule="auto" w:line="333" w:before="80" w:after="40"/>
        <w:jc w:val="left"/>
        <w:rPr>
          <w:rFonts w:ascii="Times New Roman;serif" w:hAnsi="Times New Roman;serif"/>
          <w:b/>
          <w:i/>
          <w:color w:val="000000"/>
          <w:sz w:val="22"/>
        </w:rPr>
      </w:pPr>
      <w:r>
        <w:rPr>
          <w:rFonts w:ascii="Times New Roman;serif" w:hAnsi="Times New Roman;serif"/>
          <w:b/>
          <w:i/>
          <w:color w:val="000000"/>
          <w:sz w:val="22"/>
        </w:rPr>
        <w:t>Piggyback Registration Rights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The holders of our registrable securities are entitled to piggyback registration rights. If we propose to register the offer and sale of our common stock under the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relating to any employee benefit, incentive or similar plan, (2) a registration relating to a transaction covered by Rule 145 promulgated under the Securities Act, (3) a registration on any form that does not include substantially the same information as would be required to be included in a registration statement covering the sale of the registrable securities or (4) a registration in which the only stock being registered is common stock issuable upon conversion of debt securities also being registered, the holders of these shares are entitled to notice of the registration and have the right, subject to certain limitations, to include their shares in the registration.</w:t>
      </w:r>
    </w:p>
    <w:p>
      <w:pPr>
        <w:pStyle w:val="TextBody"/>
        <w:bidi w:val="0"/>
        <w:spacing w:lineRule="auto" w:line="333" w:before="80" w:after="40"/>
        <w:jc w:val="left"/>
        <w:rPr>
          <w:rFonts w:ascii="Times New Roman;serif" w:hAnsi="Times New Roman;serif"/>
          <w:b/>
          <w:i/>
          <w:color w:val="000000"/>
          <w:sz w:val="22"/>
        </w:rPr>
      </w:pPr>
      <w:r>
        <w:rPr>
          <w:rFonts w:ascii="Times New Roman;serif" w:hAnsi="Times New Roman;serif"/>
          <w:b/>
          <w:i/>
          <w:color w:val="000000"/>
          <w:sz w:val="22"/>
        </w:rPr>
        <w:t>Expenses of Registration</w:t>
      </w:r>
    </w:p>
    <w:p>
      <w:pPr>
        <w:pStyle w:val="TextBody"/>
        <w:bidi w:val="0"/>
        <w:spacing w:lineRule="auto" w:line="333" w:before="0" w:after="2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We will pay the registration expenses (other than underwriting discounts, selling commissions and stock transfer taxes) of the holders of the shares to be offered and sold pursuant to the registrations described above, including the reasonable fees and disbursements of one counsel chosen by the holders of the shares included in such registrations.</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Termination</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registration rights terminate upon the earliest of (1) as to a given holder of registration rights, when such holder of registration rights holds less than 1% of our outstanding securities and such holder can sell </w:t>
      </w:r>
    </w:p>
    <w:p>
      <w:pPr>
        <w:pStyle w:val="TextBody"/>
        <w:bidi w:val="0"/>
        <w:spacing w:before="0" w:after="12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0335"/>
                <wp:effectExtent l="0" t="0" r="0" b="0"/>
                <wp:wrapNone/>
                <wp:docPr id="198" name="Frame18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all of such holder’s registrable securities without limitation in a three-month period pursuant to Rule 144 promulgated under the Securities Act and (2) the date that is five years after the closing of our initial public offering.</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Anti-Takeover Effects of Certain Provisions of Delaware Law, Our Certificate of Incorporation and Our Bylaws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Certain provisions of Delaware law, our Certificate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Delaware Law</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We are governed by the provisions of Section 203 of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the business combination or transaction which resulted in the stockholder becoming an interested stockholder was approved by the board of directors prior to the time that the stockholder became an interested stockholder;</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lineRule="auto" w:line="333" w:before="0" w:after="2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Section 203 defines a business combination to include:</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mergers or consolidations involving the corporation, or any direct or indirect majority-owned subsidiary of the corporation, and the interested stockholder or any other entity if the merger or consolidation is caused by the interested stockholder;</w:t>
      </w:r>
    </w:p>
    <w:p>
      <w:pPr>
        <w:pStyle w:val="TextBody"/>
        <w:bidi w:val="0"/>
        <w:spacing w:before="0" w:after="12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0335"/>
                <wp:effectExtent l="0" t="0" r="0" b="0"/>
                <wp:wrapNone/>
                <wp:docPr id="199" name="Frame18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v:textbox>
                <w10:wrap type="none"/>
              </v:rect>
            </w:pict>
          </mc:Fallback>
        </mc:AlternateConten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any sale, transfer, pledge or other disposition involving the interested stockholder of 10% or more of the assets of the corporation or any direct or indirect majority-owned subsidiary of the corporation;</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subject to exceptions, any transaction that results in the issuance or transfer by the corporation, or any direct or indirect majority-owned subsidiary of the corporation, of any stock of the corporation or such subsidiary to the interested stockholder;</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pStyle w:val="TextBody"/>
        <w:bidi w:val="0"/>
        <w:spacing w:lineRule="auto" w:line="333" w:before="0" w:after="2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the receipt by the interested stockholder of the benefit of any loans, advances, guarantees, pledges or other financial benefits provided by or through the corporation.</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These provisions may have the effect of delaying, deferring or preventing changes in control of our company.</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Certificate of Incorporation and Bylaws Provisions</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Provisions of our Certificate of Incorporation and Bylaws include a number of provisions that could deter hostile takeovers or delay or prevent changes in control of our board of directors or management. Among other things, our Certificate of Incorporation and Bylaws:</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permit our board of directors to issue shares of preferred stock, with any powers, rights, preferences and privileges as they may designate;</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provide that the authorized number of directors may be changed only by resolution of the board of directors;</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divide our board of directors into three classes, each of which stands for election once every three years;</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for so long as our board of directors is classified, and subject to the rights of holders of our preferred stock, provide that a director may only be removed from the board of directors by the stockholders for cause;</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require that any action to be taken by our stockholders must be effected at a duly called annual or special meeting of stockholders and not be taken by written consent;</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0" w:after="12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0335"/>
                <wp:effectExtent l="0" t="0" r="0" b="0"/>
                <wp:wrapNone/>
                <wp:docPr id="200" name="Frame18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5</w:t>
                      </w:r>
                    </w:p>
                  </w:txbxContent>
                </v:textbox>
                <w10:wrap type="none"/>
              </v:rect>
            </w:pict>
          </mc:Fallback>
        </mc:AlternateConten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not provide for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lineRule="auto" w:line="333" w:before="0" w:after="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provide that special meetings of our stockholders may be called only by the board of directors, the chairperson of the board of directors, our chief executive officer or president; and</w:t>
      </w:r>
    </w:p>
    <w:p>
      <w:pPr>
        <w:pStyle w:val="TextBody"/>
        <w:bidi w:val="0"/>
        <w:spacing w:lineRule="auto" w:line="333" w:before="0" w:after="240"/>
        <w:ind w:left="0" w:right="0" w:hanging="360"/>
        <w:jc w:val="left"/>
        <w:rPr/>
      </w:pPr>
      <w:r>
        <w:rPr>
          <w:rFonts w:ascii="Wingdings;sans-serif" w:hAnsi="Wingdings;sans-serif"/>
          <w:b w:val="false"/>
          <w:color w:val="000000"/>
          <w:sz w:val="14"/>
        </w:rPr>
        <w:t>n</w:t>
      </w:r>
      <w:r>
        <w:rPr>
          <w:rFonts w:ascii="Times New Roman;serif" w:hAnsi="Times New Roman;serif"/>
          <w:b w:val="false"/>
          <w:color w:val="000000"/>
          <w:sz w:val="22"/>
        </w:rPr>
        <w:t>provide that stockholders will be permitted to amend certain provisions of our amended and restated certificate of incorporation and our amended and restated bylaws only upon receiving at least two-thirds of the voting power of the then outstanding voting securities, voting together as a single class.</w:t>
      </w:r>
    </w:p>
    <w:p>
      <w:pPr>
        <w:pStyle w:val="TextBody"/>
        <w:bidi w:val="0"/>
        <w:spacing w:lineRule="auto" w:line="333" w:before="240" w:after="8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Exclusive Forum</w:t>
      </w:r>
    </w:p>
    <w:p>
      <w:pPr>
        <w:pStyle w:val="TextBody"/>
        <w:bidi w:val="0"/>
        <w:spacing w:lineRule="auto" w:line="333" w:before="0" w:after="240"/>
        <w:jc w:val="left"/>
        <w:rPr/>
      </w:pPr>
      <w:r>
        <w:rPr>
          <w:rFonts w:ascii="Times New Roman;serif" w:hAnsi="Times New Roman;serif"/>
          <w:b w:val="false"/>
          <w:color w:val="000000"/>
          <w:sz w:val="22"/>
          <w:shd w:fill="FFFFFF" w:val="clear"/>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amended and restated certificate of incorporation or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would not apply to any action brought to enforce a duty or liability created by the Exchange Act and the rules and regulations thereunder.</w:t>
      </w:r>
      <w:r>
        <w:rPr>
          <w:color w:val="000000"/>
        </w:rPr>
        <w:t xml:space="preserve"> </w:t>
      </w:r>
      <w:r>
        <w:rPr>
          <w:rFonts w:ascii="Times New Roman;serif" w:hAnsi="Times New Roman;serif"/>
          <w:b w:val="false"/>
          <w:color w:val="000000"/>
          <w:sz w:val="22"/>
          <w:shd w:fill="FFFFFF" w:val="clear"/>
        </w:rPr>
        <w:t>Our Bylaws also provide that, unless we consent in writing to the selection of an alternative forum, the federal district courts of the United States will be the sole and exclusive forum for resolving any complaint asserting a cause of action arising under the Securities Act.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The transfer agent and registrar for our common stock is Broadridge Corporate Issuer Solutions, LLC. The transfer agent and registrar’s address is 51 Mercedes Way, Edgewood, NY 11717.</w:t>
      </w:r>
    </w:p>
    <w:p>
      <w:pPr>
        <w:pStyle w:val="TextBody"/>
        <w:bidi w:val="0"/>
        <w:spacing w:lineRule="auto" w:line="333" w:before="240" w:after="80"/>
        <w:jc w:val="left"/>
        <w:rPr>
          <w:rFonts w:ascii="Times New Roman;serif" w:hAnsi="Times New Roman;serif"/>
          <w:b/>
          <w:color w:val="000000"/>
          <w:sz w:val="22"/>
        </w:rPr>
      </w:pPr>
      <w:r>
        <w:rPr>
          <w:rFonts w:ascii="Times New Roman;serif" w:hAnsi="Times New Roman;serif"/>
          <w:b/>
          <w:color w:val="000000"/>
          <w:sz w:val="22"/>
        </w:rPr>
        <w:t>Listing</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Our common stock is listed on the Nasdaq Global Select Market under the symbol “SGP.”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ind w:left="0" w:right="0" w:firstLine="720"/>
        <w:jc w:val="right"/>
        <w:rPr>
          <w:rFonts w:ascii="Times New Roman;serif" w:hAnsi="Times New Roman;serif"/>
          <w:b/>
          <w:color w:val="000000"/>
          <w:sz w:val="20"/>
        </w:rPr>
      </w:pPr>
      <w:r>
        <w:rPr>
          <w:rFonts w:ascii="Times New Roman;serif" w:hAnsi="Times New Roman;serif"/>
          <w:b/>
          <w:color w:val="000000"/>
          <w:sz w:val="20"/>
        </w:rPr>
        <w:t>Exhibit 19.1</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0335"/>
                <wp:effectExtent l="0" t="0" r="0" b="0"/>
                <wp:wrapNone/>
                <wp:docPr id="201" name="Frame18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24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SPYGLASS PHARMA,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(Adopted on January 28, 2026 and effective as of the Company’s initial public offering)</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A.POLICY OVERVIEW</w:t>
      </w:r>
    </w:p>
    <w:p>
      <w:pPr>
        <w:pStyle w:val="TextBody"/>
        <w:bidi w:val="0"/>
        <w:spacing w:lineRule="auto" w:line="288" w:before="0" w:after="240"/>
        <w:ind w:left="0" w:right="0" w:firstLine="720"/>
        <w:jc w:val="both"/>
        <w:rPr/>
      </w:pPr>
      <w:r>
        <w:rPr>
          <w:rFonts w:ascii="Times New Roman;serif" w:hAnsi="Times New Roman;serif"/>
          <w:b w:val="false"/>
          <w:color w:val="000000"/>
          <w:sz w:val="22"/>
        </w:rPr>
        <w:t>SpyGlass Pharma, Inc. (together with any subsidiaries, collectively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has adopted this Insider Trading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to help you comply with the federal and state securities laws and regulations that govern trading in securities and to help the Company minimize its own legal and reputational risk. This Policy amends and restates any prior policy previously adopted by the Company regarding the subject matter 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purposes of this Policy, each of the Company’s Chief Executive Officer and Chief Financial Officer (or such persons performing the duties customarily performed by such officers) shall serve as a compliance officer under this Policy (each acting in such capacity, the “</w:t>
      </w:r>
      <w:r>
        <w:rPr>
          <w:rFonts w:ascii="Times New Roman;serif" w:hAnsi="Times New Roman;serif"/>
          <w:b/>
          <w:color w:val="000000"/>
          <w:sz w:val="22"/>
        </w:rPr>
        <w:t>Compliance Officer</w:t>
      </w:r>
      <w:r>
        <w:rPr>
          <w:color w:val="000000"/>
        </w:rPr>
        <w:t>”</w:t>
      </w:r>
      <w:r>
        <w:rPr>
          <w:rFonts w:ascii="Times New Roman;serif" w:hAnsi="Times New Roman;serif"/>
          <w:b w:val="false"/>
          <w:color w:val="000000"/>
          <w:sz w:val="22"/>
        </w:rPr>
        <w:t>). The Compliance Officer may designate others, from time to time, to assist with the execution of his or her duties under this Policy.</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B.POLICY STATEMENT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No Trading on Material Nonpublic Information</w:t>
      </w:r>
      <w:r>
        <w:rPr>
          <w:rFonts w:ascii="Times New Roman;serif" w:hAnsi="Times New Roman;serif"/>
          <w:b w:val="false"/>
          <w:color w:val="000000"/>
          <w:sz w:val="22"/>
        </w:rPr>
        <w:t>. It is illegal for anyone to trade in securities on the basis of material nonpublic information. If you are in possession of material nonpublic information about the Company, you are prohibited from:</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a.using it to transact in securities of the Company;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b.disclosing it to other directors, officers, employees, consultants, contractors or advisors whose roles do not require them to have the information;</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c.disclosing it to anyone outside of the Company, including family, friends, business associates, investors or consulting firms, without prior written authorization from the Compliance Officer; or</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d.using it to express an opinion or make a recommendation about trading in the Company’s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In addition, if you learn of material nonpublic information through your service with the Company that could be expected to affect the trading price of the securities of another company, you cannot (</w:t>
      </w:r>
      <w:r>
        <w:rPr>
          <w:rFonts w:ascii="Times New Roman;serif" w:hAnsi="Times New Roman;serif"/>
          <w:b w:val="false"/>
          <w:i/>
          <w:color w:val="000000"/>
          <w:sz w:val="22"/>
        </w:rPr>
        <w:t>x</w:t>
      </w:r>
      <w:r>
        <w:rPr>
          <w:rFonts w:ascii="Times New Roman;serif" w:hAnsi="Times New Roman;serif"/>
          <w:b w:val="false"/>
          <w:color w:val="000000"/>
          <w:sz w:val="22"/>
        </w:rPr>
        <w:t>) use that information to trade, directly or indirectly through others, or (</w:t>
      </w:r>
      <w:r>
        <w:rPr>
          <w:rFonts w:ascii="Times New Roman;serif" w:hAnsi="Times New Roman;serif"/>
          <w:b w:val="false"/>
          <w:i/>
          <w:color w:val="000000"/>
          <w:sz w:val="22"/>
        </w:rPr>
        <w:t>y</w:t>
      </w:r>
      <w:r>
        <w:rPr>
          <w:rFonts w:ascii="Times New Roman;serif" w:hAnsi="Times New Roman;serif"/>
          <w:b w:val="false"/>
          <w:color w:val="000000"/>
          <w:sz w:val="22"/>
        </w:rPr>
        <w:t>) provide that information to another person in order to trade, in the securities of that other company. Any such action will be deemed a violation of this Policy.</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No Disclosure of Confidential Information</w:t>
      </w:r>
      <w:r>
        <w:rPr>
          <w:rFonts w:ascii="Times New Roman;serif" w:hAnsi="Times New Roman;serif"/>
          <w:b w:val="false"/>
          <w:color w:val="000000"/>
          <w:sz w:val="22"/>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Chief Executive Officer, Chief Financial Officer, or Compliance Officer. Responding to a request yourself may violate this Policy and, in some circumstances, the law. Please consult the Company’s External Communications Policy for more details.</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Definition of Material Nonpublic Information</w:t>
      </w:r>
      <w:r>
        <w:rPr>
          <w:rFonts w:ascii="Times New Roman;serif" w:hAnsi="Times New Roman;serif"/>
          <w:b w:val="false"/>
          <w:color w:val="000000"/>
          <w:sz w:val="22"/>
        </w:rPr>
        <w:t>. “</w:t>
      </w:r>
      <w:r>
        <w:rPr>
          <w:rFonts w:ascii="Times New Roman;serif" w:hAnsi="Times New Roman;serif"/>
          <w:b/>
          <w:color w:val="000000"/>
          <w:sz w:val="22"/>
        </w:rPr>
        <w:t>Material information</w:t>
      </w:r>
      <w:r>
        <w:rPr>
          <w:color w:val="000000"/>
        </w:rPr>
        <w:t xml:space="preserve">” </w:t>
      </w:r>
      <w:r>
        <w:rPr>
          <w:rFonts w:ascii="Times New Roman;serif" w:hAnsi="Times New Roman;serif"/>
          <w:b w:val="false"/>
          <w:color w:val="000000"/>
          <w:sz w:val="22"/>
        </w:rPr>
        <w:t>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not possible to define all categories of “material” information. However, some examples of information that could be regarded as material include, but are not limited to:</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a.financial results, key metrics, financial condition, earnings pre-announcements, guidance, projections or forecasts, particularly if inconsistent with the Company’s guidance or the expectations of the investment community;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b.restatements of financial results, or material impairments, write-offs or restructurings;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c.changes in independent auditors, or notification that the Company may no longer rely on an audit report;</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d.business plans or budgets;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e.creation of significant financial obligations, or any significant default under or acceleration of any financial obligation;</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f.impending bankruptcy or financial liquidity problems;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lineRule="auto" w:line="240" w:before="0" w:after="240"/>
        <w:ind w:left="0" w:right="0" w:hanging="720"/>
        <w:jc w:val="both"/>
        <w:rPr/>
      </w:pPr>
      <w:r>
        <w:rPr>
          <w:rFonts w:ascii="Times New Roman;serif" w:hAnsi="Times New Roman;serif"/>
          <w:b w:val="false"/>
          <w:color w:val="000000"/>
          <w:sz w:val="22"/>
        </w:rPr>
        <w:t>h.significant information relating to the operation of product or service, such as new products or services, major modifications or performance issues, defects or recalls, significant pricing changes or other announcements of a significant nature;</w:t>
      </w:r>
      <w:r>
        <w:rPr>
          <w:color w:val="000000"/>
        </w:rPr>
        <w:t xml:space="preserve"> </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i.significant developments in research and development, relating to the Company’s clinical studies, including, without limitation, status, results and communications with regulatory agencies, or relating to intellectual property;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j.significant legal or regulatory developments, whether positive or negative, actual or threatened, including litigation or resolving litigation;</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67665"/>
                <wp:effectExtent l="0" t="0" r="0" b="0"/>
                <wp:wrapNone/>
                <wp:docPr id="203" name="Frame1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l.significant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m.major personnel changes, such as changes in senior management or employee layoffs;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n.data breaches or other cybersecurity events;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o.updates regarding any prior material disclosure that has materially changed; and</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p.the existence of a special blackout period.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Material nonpublic information</w:t>
      </w:r>
      <w:r>
        <w:rPr>
          <w:color w:val="000000"/>
        </w:rPr>
        <w:t xml:space="preserve">” </w:t>
      </w:r>
      <w:r>
        <w:rPr>
          <w:rFonts w:ascii="Times New Roman;serif" w:hAnsi="Times New Roman;serif"/>
          <w:b w:val="false"/>
          <w:color w:val="000000"/>
          <w:sz w:val="22"/>
        </w:rPr>
        <w:t>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pStyle w:val="TextBody"/>
        <w:bidi w:val="0"/>
        <w:spacing w:lineRule="auto" w:line="288" w:before="0" w:after="240"/>
        <w:ind w:left="0" w:right="0" w:firstLine="720"/>
        <w:jc w:val="both"/>
        <w:rPr/>
      </w:pPr>
      <w:r>
        <w:rPr>
          <w:rFonts w:ascii="Times New Roman;serif" w:hAnsi="Times New Roman;serif"/>
          <w:b w:val="false"/>
          <w:color w:val="000000"/>
          <w:sz w:val="22"/>
        </w:rPr>
        <w:t>As a rule of thumb, if you think something might be material nonpublic information, it probably is. You can always reach out to the Compliance Officer</w:t>
      </w:r>
      <w:r>
        <w:rPr>
          <w:color w:val="000000"/>
        </w:rPr>
        <w:t xml:space="preserve"> </w:t>
      </w:r>
      <w:r>
        <w:rPr>
          <w:rFonts w:ascii="Times New Roman;serif" w:hAnsi="Times New Roman;serif"/>
          <w:b w:val="false"/>
          <w:color w:val="000000"/>
          <w:sz w:val="22"/>
        </w:rPr>
        <w:t>if you have questions.</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C.PERSONS COVERED BY THIS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the Policy shall not apply to any such entity that engages in the investment of securities in the ordinary course of its business (</w:t>
      </w:r>
      <w:r>
        <w:rPr>
          <w:rFonts w:ascii="Times New Roman;serif" w:hAnsi="Times New Roman;serif"/>
          <w:b w:val="false"/>
          <w:i/>
          <w:color w:val="000000"/>
          <w:sz w:val="22"/>
        </w:rPr>
        <w:t>e.g.,</w:t>
      </w:r>
      <w:r>
        <w:rPr>
          <w:color w:val="000000"/>
        </w:rPr>
        <w:t xml:space="preserve"> </w:t>
      </w:r>
      <w:r>
        <w:rPr>
          <w:rFonts w:ascii="Times New Roman;serif" w:hAnsi="Times New Roman;serif"/>
          <w:b w:val="false"/>
          <w:color w:val="000000"/>
          <w:sz w:val="22"/>
        </w:rPr>
        <w:t>an investment fund or partnership) if such entity has established its own insider trading controls and procedures in compliance with applicable securities laws. You are responsible for making sure that these other individuals and entities comply with this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D.TRADING COVERED BY THIS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Except as discussed in Section H (</w:t>
      </w:r>
      <w:r>
        <w:rPr>
          <w:rFonts w:ascii="Times New Roman;serif" w:hAnsi="Times New Roman;serif"/>
          <w:b w:val="false"/>
          <w:i/>
          <w:color w:val="000000"/>
          <w:sz w:val="22"/>
        </w:rPr>
        <w:t>Exceptions to Trading Restrictions</w:t>
      </w:r>
      <w:r>
        <w:rPr>
          <w:rFonts w:ascii="Times New Roman;serif" w:hAnsi="Times New Roman;serif"/>
          <w:b w:val="false"/>
          <w:color w:val="000000"/>
          <w:sz w:val="22"/>
        </w:rPr>
        <w:t xml:space="preserve">), this Policy applies to all transactions involving the Company’s securities or other companies’ securities for which you possess </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67665"/>
                <wp:effectExtent l="0" t="0" r="0" b="0"/>
                <wp:wrapNone/>
                <wp:docPr id="204" name="Frame1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material nonpublic information obtained in connection with your service with the Company. This Policy therefore applies to:</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any disposition in the form of a gift of any securities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rPr>
        <w:t>any distribution to holders of interests in an entity if the entity is subject to this Policy;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the foregoing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exceptions from insider trading laws or this Policy based on the size of the transaction or the type of consideration received.</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E.TRADING RESTRICTIONS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exceptions set forth below, this Policy restricts trading during certain periods and by certain people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Quarterly Blackout Periods</w:t>
      </w:r>
      <w:r>
        <w:rPr>
          <w:rFonts w:ascii="Times New Roman;serif" w:hAnsi="Times New Roman;serif"/>
          <w:b w:val="false"/>
          <w:color w:val="000000"/>
          <w:sz w:val="22"/>
        </w:rPr>
        <w:t>. Except as discussed in Section H (</w:t>
      </w:r>
      <w:r>
        <w:rPr>
          <w:rFonts w:ascii="Times New Roman;serif" w:hAnsi="Times New Roman;serif"/>
          <w:b w:val="false"/>
          <w:i/>
          <w:color w:val="000000"/>
          <w:sz w:val="22"/>
        </w:rPr>
        <w:t>Exceptions to Trading Restrictions</w:t>
      </w:r>
      <w:r>
        <w:rPr>
          <w:rFonts w:ascii="Times New Roman;serif" w:hAnsi="Times New Roman;serif"/>
          <w:b w:val="false"/>
          <w:color w:val="000000"/>
          <w:sz w:val="22"/>
        </w:rPr>
        <w:t>), all directors, officers and employees of the Company, and those consultants, contractors and advisors identified by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w:t>
      </w:r>
      <w:r>
        <w:rPr>
          <w:rFonts w:ascii="Times New Roman;serif" w:hAnsi="Times New Roman;serif"/>
          <w:b/>
          <w:color w:val="000000"/>
          <w:sz w:val="22"/>
        </w:rPr>
        <w:t>Covered Persons List</w:t>
      </w:r>
      <w:r>
        <w:rPr>
          <w:color w:val="000000"/>
        </w:rPr>
        <w:t>”</w:t>
      </w:r>
      <w:r>
        <w:rPr>
          <w:rFonts w:ascii="Times New Roman;serif" w:hAnsi="Times New Roman;serif"/>
          <w:b w:val="false"/>
          <w:color w:val="000000"/>
          <w:sz w:val="22"/>
        </w:rPr>
        <w:t>).To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Quarterly blackout periods will start at the end of the last day of each fiscal quarter and will end at the start of the second full trading day following the Company’s earnings release.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the Company may identify other persons who should be subject to quarterly blackout periods, and the Compliance Officer may update and revise the Covered Persons List.</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67665"/>
                <wp:effectExtent l="0" t="0" r="0" b="0"/>
                <wp:wrapNone/>
                <wp:docPr id="205" name="Frame1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Special Blackout Periods</w:t>
      </w:r>
      <w:r>
        <w:rPr>
          <w:rFonts w:ascii="Times New Roman;serif" w:hAnsi="Times New Roman;serif"/>
          <w:b w:val="false"/>
          <w:color w:val="000000"/>
          <w:sz w:val="22"/>
        </w:rPr>
        <w:t>. The Company always retains the right to impose additional or longer trading blackout periods at any time on any or all of its directors, officers, employees, consultants, contractors and advisors. The Compliance Officer</w:t>
      </w:r>
      <w:r>
        <w:rPr>
          <w:color w:val="000000"/>
        </w:rPr>
        <w:t xml:space="preserve"> </w:t>
      </w:r>
      <w:r>
        <w:rPr>
          <w:rFonts w:ascii="Times New Roman;serif" w:hAnsi="Times New Roman;serif"/>
          <w:b w:val="false"/>
          <w:color w:val="000000"/>
          <w:sz w:val="22"/>
        </w:rPr>
        <w:t xml:space="preserve">will notify you if you are subject to a special blackout period by providing to you a notice in writing or via email substantially in the form of </w:t>
      </w:r>
      <w:r>
        <w:rPr>
          <w:rFonts w:ascii="Times New Roman;serif" w:hAnsi="Times New Roman;serif"/>
          <w:b w:val="false"/>
          <w:color w:val="000000"/>
          <w:sz w:val="22"/>
          <w:u w:val="single"/>
        </w:rPr>
        <w:t>Exhibit B</w:t>
      </w:r>
      <w:r>
        <w:rPr>
          <w:rFonts w:ascii="Times New Roman;serif" w:hAnsi="Times New Roman;serif"/>
          <w:b w:val="false"/>
          <w:color w:val="000000"/>
          <w:sz w:val="22"/>
        </w:rPr>
        <w:t>.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Regulation BTR Blackouts</w:t>
      </w:r>
      <w:r>
        <w:rPr>
          <w:rFonts w:ascii="Times New Roman;serif" w:hAnsi="Times New Roman;serif"/>
          <w:b w:val="false"/>
          <w:color w:val="000000"/>
          <w:sz w:val="22"/>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F.PROHIBITED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may not engage in any of the following types of transactions other than as noted below, regardless of whether you have material nonpublic information or not.</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Short Sales</w:t>
      </w:r>
      <w:r>
        <w:rPr>
          <w:rFonts w:ascii="Times New Roman;serif" w:hAnsi="Times New Roman;serif"/>
          <w:b w:val="false"/>
          <w:color w:val="000000"/>
          <w:sz w:val="22"/>
        </w:rPr>
        <w:t>. You may not engage in short sales (meaning the sale of a security that must be borrowed to make delivery) or “sell short against the box” (meaning the sale of a security with a delayed delivery) if such sales involve the Company’s securities.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Derivative Securities and Hedging Transactions</w:t>
      </w:r>
      <w:r>
        <w:rPr>
          <w:rFonts w:ascii="Times New Roman;serif" w:hAnsi="Times New Roman;serif"/>
          <w:b w:val="false"/>
          <w:color w:val="000000"/>
          <w:sz w:val="22"/>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Pledging Transactions</w:t>
      </w:r>
      <w:r>
        <w:rPr>
          <w:rFonts w:ascii="Times New Roman;serif" w:hAnsi="Times New Roman;serif"/>
          <w:b w:val="false"/>
          <w:color w:val="000000"/>
          <w:sz w:val="22"/>
        </w:rPr>
        <w:t>. You may not pledge the Company’s securities as collateral for any loan or as part of any other pledging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Margin Accounts</w:t>
      </w:r>
      <w:r>
        <w:rPr>
          <w:rFonts w:ascii="Times New Roman;serif" w:hAnsi="Times New Roman;serif"/>
          <w:b w:val="false"/>
          <w:color w:val="000000"/>
          <w:sz w:val="22"/>
        </w:rPr>
        <w:t xml:space="preserve">. You may not hold the Company’s common stock in margin accounts. </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G.PRE-CLEARANCE OF TRADES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Company’s directors and officers and any other persons identified on the Covered Persons List of this Policy as being subject to pre-clearance requirements must obtain pre-clearance prior to trading the Company’s securities. If you are subject to pre-clearance requirements, you should submit a pre-clearance request in the form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the Compliance Officer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67665"/>
                <wp:effectExtent l="0" t="0" r="0" b="0"/>
                <wp:wrapNone/>
                <wp:docPr id="206" name="Frame1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Compliance Officer is the requester, then the Company’s Chief Executive Officer (unless the Chief Executive Officer is the requester), Chief Financial Officer (unless the Chief Financial Officer is the requester), or their delegate, must pre-clear or deny any trade. At the recommendation of the Compliance Officer, trades made by the Chief Executive Officer and other officers also must be approved by a committee of the Company’s board of directors. All trades must be executed within two business days of any pre-clearance.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Even after preclearance, a person may not trade the Company’s securities if they become subject to a blackout period or aware of material nonpublic information prior to the trade being executed.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the Company may identify other persons who should be subject to the pre-clearance requirements set forth above, and the Compliance Officer may update and revise the Covered Persons List as appropriate.</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H.EXCEPTIONS TO TRADING RESTRICTIONS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Other than the limited exceptions set forth below, any other exceptions to this Policy must be approved by the Compliance Officer, in consultation with the Company’s board of directors or an independent committee of the board of directors.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are certain limited exceptions to the quarterly and special blackout period restrictions and pre-clearance requirements imposed by the Company under this Policy:</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rPr>
        <w:t>stock option exercises where the purchase price of such stock options is paid in cash and there is no other associated market activity;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purchases pursuant to the employee stock purchase plan; however, this exception does not apply to subsequent sales of the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rPr>
        <w:t>receipt and vesting of stock options, restricted stock units, restricted stock or other equity compensation awards from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net share withholding with respect to equity awards where shares are withheld by the Company in order to satisfy tax withholding requirements, (</w:t>
      </w:r>
      <w:r>
        <w:rPr>
          <w:rFonts w:ascii="Times New Roman;serif" w:hAnsi="Times New Roman;serif"/>
          <w:b w:val="false"/>
          <w:i/>
          <w:color w:val="000000"/>
          <w:sz w:val="22"/>
        </w:rPr>
        <w:t>x</w:t>
      </w:r>
      <w:r>
        <w:rPr>
          <w:rFonts w:ascii="Times New Roman;serif" w:hAnsi="Times New Roman;serif"/>
          <w:b w:val="false"/>
          <w:color w:val="000000"/>
          <w:sz w:val="22"/>
        </w:rPr>
        <w:t>) as required by either the Company’s board of directors (or a committee thereof) or the award agreement governing such equity award or (</w:t>
      </w:r>
      <w:r>
        <w:rPr>
          <w:rFonts w:ascii="Times New Roman;serif" w:hAnsi="Times New Roman;serif"/>
          <w:b w:val="false"/>
          <w:i/>
          <w:color w:val="000000"/>
          <w:sz w:val="22"/>
        </w:rPr>
        <w:t>y</w:t>
      </w:r>
      <w:r>
        <w:rPr>
          <w:rFonts w:ascii="Times New Roman;serif" w:hAnsi="Times New Roman;serif"/>
          <w:b w:val="false"/>
          <w:color w:val="000000"/>
          <w:sz w:val="22"/>
        </w:rPr>
        <w:t>) as you elect, if permitted by the Company, so long as the election is irrevocable and made in writing at a time when a trading blackout is not in place and you are not in possession of material nonpublic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rPr>
        <w:t>sell to cover transactions where shares are sold on your behalf upon vesting of equity awards and sold in order to satisfy tax withholding requirements, (</w:t>
      </w:r>
      <w:r>
        <w:rPr>
          <w:rFonts w:ascii="Times New Roman;serif" w:hAnsi="Times New Roman;serif"/>
          <w:b w:val="false"/>
          <w:i/>
          <w:color w:val="000000"/>
          <w:sz w:val="22"/>
        </w:rPr>
        <w:t>x</w:t>
      </w:r>
      <w:r>
        <w:rPr>
          <w:rFonts w:ascii="Times New Roman;serif" w:hAnsi="Times New Roman;serif"/>
          <w:b w:val="false"/>
          <w:color w:val="000000"/>
          <w:sz w:val="22"/>
        </w:rPr>
        <w:t>) as required by either the Company’s board of directors (or a committee thereof) or the award agreement governing such equity award or (</w:t>
      </w:r>
      <w:r>
        <w:rPr>
          <w:rFonts w:ascii="Times New Roman;serif" w:hAnsi="Times New Roman;serif"/>
          <w:b w:val="false"/>
          <w:i/>
          <w:color w:val="000000"/>
          <w:sz w:val="22"/>
        </w:rPr>
        <w:t>y</w:t>
      </w:r>
      <w:r>
        <w:rPr>
          <w:rFonts w:ascii="Times New Roman;serif" w:hAnsi="Times New Roman;serif"/>
          <w:b w:val="false"/>
          <w:color w:val="000000"/>
          <w:sz w:val="22"/>
        </w:rPr>
        <w:t xml:space="preserve">) as you elect, if permitted by the Company, so long as the election is irrevocable and made in writing at a time when a trading blackout is not in place and you are not in possession of material nonpublic </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67665"/>
                <wp:effectExtent l="0" t="0" r="0" b="0"/>
                <wp:wrapNone/>
                <wp:docPr id="207" name="Frame1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information; however, this exception does not apply to any other market sale for the purposes of paying required withholding;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rPr>
        <w:t>transactions made pursuant to a valid 10b5-1 trading plan approved by the Company (see Section I (</w:t>
      </w:r>
      <w:r>
        <w:rPr>
          <w:rFonts w:ascii="Times New Roman;serif" w:hAnsi="Times New Roman;serif"/>
          <w:b w:val="false"/>
          <w:i/>
          <w:color w:val="000000"/>
          <w:sz w:val="22"/>
        </w:rPr>
        <w:t>10b5-1 Trading Plans</w:t>
      </w:r>
      <w:r>
        <w:rPr>
          <w:rFonts w:ascii="Times New Roman;serif" w:hAnsi="Times New Roman;serif"/>
          <w:b w:val="false"/>
          <w:color w:val="000000"/>
          <w:sz w:val="22"/>
        </w:rPr>
        <w:t>) below);</w:t>
      </w:r>
    </w:p>
    <w:p>
      <w:pPr>
        <w:pStyle w:val="TextBody"/>
        <w:bidi w:val="0"/>
        <w:spacing w:lineRule="auto" w:line="240"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rPr>
        <w:t>changes in the number of the Company’s securities you hold due to a stock split or a stock dividend that applies equally to all securities of a class, or similar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 </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I.10B5-1 TRADING PLANS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comply with the requirements set forth in the Requirements for Trading Plans attached as </w:t>
      </w:r>
      <w:r>
        <w:rPr>
          <w:rFonts w:ascii="Times New Roman;serif" w:hAnsi="Times New Roman;serif"/>
          <w:b w:val="false"/>
          <w:color w:val="000000"/>
          <w:sz w:val="22"/>
          <w:u w:val="single"/>
        </w:rPr>
        <w:t>Exhibit C</w:t>
      </w:r>
      <w:r>
        <w:rPr>
          <w:rFonts w:ascii="Times New Roman;serif" w:hAnsi="Times New Roman;serif"/>
          <w:b w:val="false"/>
          <w:color w:val="000000"/>
          <w:sz w:val="22"/>
        </w:rPr>
        <w:t>. If the Compliance Officer is the requester, then the Company’s Chief Executive Officer, Chief Financial Officer, or their delegate, must approve the written 10b5-1 trading plan.</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J.SECTION 16 COMPLIANCE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serif" w:hAnsi="Times New Roman;serif"/>
          <w:b w:val="false"/>
          <w:i/>
          <w:color w:val="000000"/>
          <w:sz w:val="22"/>
        </w:rPr>
        <w:t>etc.</w:t>
      </w:r>
      <w:r>
        <w:rPr>
          <w:rFonts w:ascii="Times New Roman;serif" w:hAnsi="Times New Roman;serif"/>
          <w:b w:val="false"/>
          <w:color w:val="000000"/>
          <w:sz w:val="22"/>
        </w:rPr>
        <w:t>) about his or her transactions involving the Company’s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is available to assist in filing Section 16 reports, but the obligation to comply with Section 16 is personal. If you have any questions, you should check with the Compliance Officer.</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K.VIOLATIONS OF THIS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67665"/>
                <wp:effectExtent l="0" t="0" r="0" b="0"/>
                <wp:wrapNone/>
                <wp:docPr id="208" name="Frame1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to exercise your options.</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L.PROTECTED ACTIVITY NOT PROHIBITED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M.REPORTING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N.AMENDMENTS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67665"/>
                <wp:effectExtent l="0" t="0" r="0" b="0"/>
                <wp:wrapNone/>
                <wp:docPr id="209" name="Frame1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PRE-CLEARANCE CHECKLIST</w:t>
      </w:r>
    </w:p>
    <w:tbl>
      <w:tblPr>
        <w:tblW w:w="5426" w:type="dxa"/>
        <w:jc w:val="left"/>
        <w:tblInd w:w="0" w:type="dxa"/>
        <w:tblLayout w:type="fixed"/>
        <w:tblCellMar>
          <w:top w:w="28" w:type="dxa"/>
          <w:left w:w="28" w:type="dxa"/>
          <w:bottom w:w="28" w:type="dxa"/>
          <w:right w:w="28" w:type="dxa"/>
        </w:tblCellMar>
      </w:tblPr>
      <w:tblGrid>
        <w:gridCol w:w="1282"/>
        <w:gridCol w:w="1127"/>
        <w:gridCol w:w="1130"/>
        <w:gridCol w:w="109"/>
        <w:gridCol w:w="109"/>
        <w:gridCol w:w="109"/>
        <w:gridCol w:w="457"/>
        <w:gridCol w:w="457"/>
        <w:gridCol w:w="646"/>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2"/>
              </w:rPr>
            </w:pPr>
            <w:r>
              <w:rPr>
                <w:rFonts w:ascii="Times New Roman;serif" w:hAnsi="Times New Roman;serif"/>
                <w:b/>
                <w:color w:val="000000"/>
                <w:sz w:val="22"/>
              </w:rPr>
              <w:t>Person proposing to trade: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2"/>
              </w:rPr>
            </w:pPr>
            <w:r>
              <w:rPr>
                <w:rFonts w:ascii="Times New Roman;serif" w:hAnsi="Times New Roman;serif"/>
                <w:b/>
                <w:color w:val="000000"/>
                <w:sz w:val="22"/>
              </w:rPr>
              <w:t>Proposed trade (type and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2"/>
              </w:rPr>
            </w:pPr>
            <w:r>
              <w:rPr>
                <w:rFonts w:ascii="Times New Roman;serif" w:hAnsi="Times New Roman;serif"/>
                <w:b/>
                <w:color w:val="000000"/>
                <w:sz w:val="22"/>
              </w:rPr>
              <w:t>Manner of trade: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2"/>
              </w:rPr>
            </w:pPr>
            <w:r>
              <w:rPr>
                <w:rFonts w:ascii="Times New Roman;serif" w:hAnsi="Times New Roman;serif"/>
                <w:b/>
                <w:color w:val="000000"/>
                <w:sz w:val="22"/>
              </w:rPr>
              <w:t>Proposed trade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2"/>
              </w:rPr>
            </w:pPr>
            <w:r>
              <w:rPr>
                <w:rFonts w:ascii="Times New Roman;serif" w:hAnsi="Times New Roman;serif"/>
                <w:b/>
                <w:color w:val="000000"/>
                <w:sz w:val="22"/>
              </w:rPr>
              <w:t>Affiliate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both"/>
              <w:rPr>
                <w:color w:val="000000"/>
              </w:rPr>
            </w:pPr>
            <w:r>
              <w:rPr>
                <w:color w:val="000000"/>
              </w:rPr>
              <w:t xml:space="preserve">☐ </w:t>
            </w:r>
            <w:r>
              <w:rPr>
                <w:rFonts w:ascii="Times New Roman;serif" w:hAnsi="Times New Roman;serif"/>
                <w:b/>
                <w:color w:val="000000"/>
                <w:sz w:val="22"/>
              </w:rPr>
              <w:t>Yes    ☐ No</w:t>
            </w:r>
          </w:p>
        </w:tc>
      </w:tr>
    </w:tbl>
    <w:p>
      <w:pPr>
        <w:pStyle w:val="TextBody"/>
        <w:bidi w:val="0"/>
        <w:spacing w:lineRule="auto" w:line="288" w:before="240" w:after="283"/>
        <w:ind w:left="0" w:right="0" w:hanging="720"/>
        <w:jc w:val="both"/>
        <w:rPr/>
      </w:pPr>
      <w:r>
        <w:rPr>
          <w:color w:val="000000"/>
        </w:rPr>
        <w:t>☐    </w:t>
      </w:r>
      <w:r>
        <w:rPr>
          <w:rFonts w:ascii="Times New Roman;serif" w:hAnsi="Times New Roman;serif"/>
          <w:b/>
          <w:color w:val="000000"/>
          <w:sz w:val="22"/>
        </w:rPr>
        <w:t>No blackout period.</w:t>
      </w:r>
      <w:r>
        <w:rPr>
          <w:color w:val="000000"/>
        </w:rPr>
        <w:t xml:space="preserve"> </w:t>
      </w:r>
      <w:r>
        <w:rPr>
          <w:rFonts w:ascii="Times New Roman;serif" w:hAnsi="Times New Roman;serif"/>
          <w:b w:val="false"/>
          <w:color w:val="000000"/>
          <w:sz w:val="22"/>
        </w:rPr>
        <w:t>The proposed trade will not be made during a quarterly or special blackout period.</w:t>
      </w:r>
    </w:p>
    <w:p>
      <w:pPr>
        <w:pStyle w:val="TextBody"/>
        <w:bidi w:val="0"/>
        <w:spacing w:lineRule="auto" w:line="288" w:before="120" w:after="283"/>
        <w:ind w:left="0" w:right="0" w:hanging="720"/>
        <w:jc w:val="both"/>
        <w:rPr/>
      </w:pPr>
      <w:r>
        <w:rPr>
          <w:color w:val="000000"/>
        </w:rPr>
        <w:t>☐    </w:t>
      </w:r>
      <w:r>
        <w:rPr>
          <w:rFonts w:ascii="Times New Roman;serif" w:hAnsi="Times New Roman;serif"/>
          <w:b/>
          <w:color w:val="000000"/>
          <w:sz w:val="22"/>
        </w:rPr>
        <w:t>No pension fund blackout under Regulation BTR.*</w:t>
      </w:r>
      <w:r>
        <w:rPr>
          <w:color w:val="000000"/>
        </w:rPr>
        <w:t xml:space="preserve"> </w:t>
      </w:r>
      <w:r>
        <w:rPr>
          <w:rFonts w:ascii="Times New Roman;serif" w:hAnsi="Times New Roman;serif"/>
          <w:b w:val="false"/>
          <w:color w:val="000000"/>
          <w:sz w:val="22"/>
        </w:rPr>
        <w:t>There is no pension fund blackout period in effect.</w:t>
      </w:r>
    </w:p>
    <w:p>
      <w:pPr>
        <w:pStyle w:val="TextBody"/>
        <w:bidi w:val="0"/>
        <w:spacing w:lineRule="auto" w:line="288" w:before="120" w:after="283"/>
        <w:ind w:left="0" w:right="0" w:hanging="720"/>
        <w:jc w:val="both"/>
        <w:rPr/>
      </w:pPr>
      <w:r>
        <w:rPr>
          <w:color w:val="000000"/>
        </w:rPr>
        <w:t>☐    </w:t>
      </w:r>
      <w:r>
        <w:rPr>
          <w:rFonts w:ascii="Times New Roman;serif" w:hAnsi="Times New Roman;serif"/>
          <w:b/>
          <w:color w:val="000000"/>
          <w:sz w:val="22"/>
        </w:rPr>
        <w:t>No prohibition under Insider Trading Policy.</w:t>
      </w:r>
      <w:r>
        <w:rPr>
          <w:color w:val="000000"/>
        </w:rPr>
        <w:t xml:space="preserve"> </w:t>
      </w:r>
      <w:r>
        <w:rPr>
          <w:rFonts w:ascii="Times New Roman;serif" w:hAnsi="Times New Roman;serif"/>
          <w:b w:val="false"/>
          <w:color w:val="000000"/>
          <w:sz w:val="22"/>
        </w:rPr>
        <w:t>The person confirmed that the proposed trade is not prohibited under the Insider Trading Policy.</w:t>
      </w:r>
    </w:p>
    <w:p>
      <w:pPr>
        <w:pStyle w:val="TextBody"/>
        <w:bidi w:val="0"/>
        <w:spacing w:lineRule="auto" w:line="288" w:before="120" w:after="283"/>
        <w:ind w:left="0" w:right="0" w:hanging="720"/>
        <w:jc w:val="both"/>
        <w:rPr/>
      </w:pPr>
      <w:r>
        <w:rPr>
          <w:color w:val="000000"/>
        </w:rPr>
        <w:t>☐    </w:t>
      </w:r>
      <w:r>
        <w:rPr>
          <w:rFonts w:ascii="Times New Roman;serif" w:hAnsi="Times New Roman;serif"/>
          <w:b/>
          <w:color w:val="000000"/>
          <w:sz w:val="22"/>
        </w:rPr>
        <w:t xml:space="preserve">No 10b5-1 trading plan. </w:t>
      </w:r>
      <w:r>
        <w:rPr>
          <w:rFonts w:ascii="Times New Roman;serif" w:hAnsi="Times New Roman;serif"/>
          <w:b w:val="false"/>
          <w:color w:val="000000"/>
          <w:sz w:val="22"/>
        </w:rPr>
        <w:t>The person does not have an outstanding 10b5-1 trading plan, and has confirmed that the proposed trade will not occur during the term of a 10b5-1 trading plan.</w:t>
      </w:r>
    </w:p>
    <w:p>
      <w:pPr>
        <w:pStyle w:val="TextBody"/>
        <w:bidi w:val="0"/>
        <w:spacing w:lineRule="auto" w:line="288" w:before="120" w:after="283"/>
        <w:ind w:left="0" w:right="0" w:hanging="720"/>
        <w:jc w:val="both"/>
        <w:rPr/>
      </w:pPr>
      <w:r>
        <w:rPr>
          <w:color w:val="000000"/>
        </w:rPr>
        <w:t>☐    </w:t>
      </w:r>
      <w:r>
        <w:rPr>
          <w:rFonts w:ascii="Times New Roman;serif" w:hAnsi="Times New Roman;serif"/>
          <w:b/>
          <w:color w:val="000000"/>
          <w:sz w:val="22"/>
        </w:rPr>
        <w:t>Section 16 compliance.*</w:t>
      </w:r>
      <w:r>
        <w:rPr>
          <w:color w:val="000000"/>
        </w:rPr>
        <w:t xml:space="preserve"> </w:t>
      </w:r>
      <w:r>
        <w:rPr>
          <w:rFonts w:ascii="Times New Roman;serif" w:hAnsi="Times New Roman;serif"/>
          <w:b w:val="false"/>
          <w:color w:val="000000"/>
          <w:sz w:val="22"/>
        </w:rPr>
        <w:t>The person confirmed that the proposed trade will not give rise to any potential liability under Section 16 as a result of matched past (or intended future) transactions.</w:t>
      </w:r>
    </w:p>
    <w:p>
      <w:pPr>
        <w:pStyle w:val="TextBody"/>
        <w:bidi w:val="0"/>
        <w:spacing w:lineRule="auto" w:line="288" w:before="120" w:after="283"/>
        <w:ind w:left="0" w:right="0" w:hanging="720"/>
        <w:jc w:val="both"/>
        <w:rPr/>
      </w:pPr>
      <w:r>
        <w:rPr>
          <w:color w:val="000000"/>
        </w:rPr>
        <w:t>☐    </w:t>
      </w:r>
      <w:r>
        <w:rPr>
          <w:rFonts w:ascii="Times New Roman;serif" w:hAnsi="Times New Roman;serif"/>
          <w:b/>
          <w:color w:val="000000"/>
          <w:sz w:val="22"/>
        </w:rPr>
        <w:t>Form 4 filing.*</w:t>
      </w:r>
      <w:r>
        <w:rPr>
          <w:color w:val="000000"/>
        </w:rPr>
        <w:t xml:space="preserve"> </w:t>
      </w:r>
      <w:r>
        <w:rPr>
          <w:rFonts w:ascii="Times New Roman;serif" w:hAnsi="Times New Roman;serif"/>
          <w:b w:val="false"/>
          <w:color w:val="000000"/>
          <w:sz w:val="22"/>
        </w:rPr>
        <w:t>A Form 4 has been or will be completed and will be timely filed with the SEC, if applicable.</w:t>
      </w:r>
    </w:p>
    <w:p>
      <w:pPr>
        <w:pStyle w:val="TextBody"/>
        <w:bidi w:val="0"/>
        <w:spacing w:lineRule="auto" w:line="288" w:before="120" w:after="283"/>
        <w:ind w:left="0" w:right="0" w:hanging="720"/>
        <w:jc w:val="both"/>
        <w:rPr/>
      </w:pPr>
      <w:r>
        <w:rPr>
          <w:color w:val="000000"/>
        </w:rPr>
        <w:t>☐    </w:t>
      </w:r>
      <w:r>
        <w:rPr>
          <w:rFonts w:ascii="Times New Roman;serif" w:hAnsi="Times New Roman;serif"/>
          <w:b/>
          <w:color w:val="000000"/>
          <w:sz w:val="22"/>
        </w:rPr>
        <w:t>Rule 144 compliance</w:t>
      </w:r>
      <w:r>
        <w:rPr>
          <w:color w:val="000000"/>
        </w:rPr>
        <w:t xml:space="preserve"> </w:t>
      </w:r>
      <w:r>
        <w:rPr>
          <w:rFonts w:ascii="Times New Roman;serif" w:hAnsi="Times New Roman;serif"/>
          <w:b/>
          <w:color w:val="000000"/>
          <w:sz w:val="22"/>
        </w:rPr>
        <w:t>(</w:t>
      </w:r>
      <w:r>
        <w:rPr>
          <w:rFonts w:ascii="Times New Roman;serif" w:hAnsi="Times New Roman;serif"/>
          <w:b/>
          <w:i/>
          <w:color w:val="000000"/>
          <w:sz w:val="22"/>
        </w:rPr>
        <w:t>Response required only from affiliates of the Company</w:t>
      </w:r>
      <w:r>
        <w:rPr>
          <w:rFonts w:ascii="Times New Roman;serif" w:hAnsi="Times New Roman;serif"/>
          <w:b/>
          <w:color w:val="000000"/>
          <w:sz w:val="22"/>
        </w:rPr>
        <w:t>).</w:t>
      </w:r>
    </w:p>
    <w:p>
      <w:pPr>
        <w:pStyle w:val="TextBody"/>
        <w:bidi w:val="0"/>
        <w:spacing w:lineRule="auto" w:line="288" w:before="120" w:after="283"/>
        <w:ind w:left="0" w:right="0" w:hanging="720"/>
        <w:jc w:val="both"/>
        <w:rPr/>
      </w:pPr>
      <w:r>
        <w:rPr>
          <w:color w:val="000000"/>
        </w:rPr>
        <w:t>☐    </w:t>
      </w:r>
      <w:r>
        <w:rPr>
          <w:rFonts w:ascii="Times New Roman;serif" w:hAnsi="Times New Roman;serif"/>
          <w:b w:val="false"/>
          <w:color w:val="000000"/>
          <w:sz w:val="22"/>
        </w:rPr>
        <w:t>The “current public information” requirement has been met (</w:t>
      </w:r>
      <w:r>
        <w:rPr>
          <w:rFonts w:ascii="Times New Roman;serif" w:hAnsi="Times New Roman;serif"/>
          <w:b w:val="false"/>
          <w:i/>
          <w:color w:val="000000"/>
          <w:sz w:val="22"/>
        </w:rPr>
        <w:t>i.e.</w:t>
      </w:r>
      <w:r>
        <w:rPr>
          <w:rFonts w:ascii="Times New Roman;serif" w:hAnsi="Times New Roman;serif"/>
          <w:b w:val="false"/>
          <w:color w:val="000000"/>
          <w:sz w:val="22"/>
        </w:rPr>
        <w:t>, all 10-Ks, 10-Qs and other relevant reports during the last 12 months have been filed);</w:t>
      </w:r>
    </w:p>
    <w:p>
      <w:pPr>
        <w:pStyle w:val="TextBody"/>
        <w:bidi w:val="0"/>
        <w:spacing w:lineRule="auto" w:line="288" w:before="120" w:after="283"/>
        <w:ind w:left="0" w:right="0" w:hanging="720"/>
        <w:jc w:val="both"/>
        <w:rPr>
          <w:color w:val="000000"/>
        </w:rPr>
      </w:pPr>
      <w:r>
        <w:rPr>
          <w:color w:val="000000"/>
        </w:rPr>
        <w:t>☐    </w:t>
      </w:r>
      <w:r>
        <w:rPr>
          <w:rFonts w:ascii="Times New Roman;serif" w:hAnsi="Times New Roman;serif"/>
          <w:b w:val="false"/>
          <w:color w:val="000000"/>
          <w:sz w:val="22"/>
        </w:rPr>
        <w:t>The shares that the person proposes to trade are not restricted or, if restricted, the applicable holding period has been met;</w:t>
      </w:r>
    </w:p>
    <w:p>
      <w:pPr>
        <w:pStyle w:val="TextBody"/>
        <w:bidi w:val="0"/>
        <w:spacing w:lineRule="auto" w:line="288" w:before="120" w:after="283"/>
        <w:ind w:left="0" w:right="0" w:hanging="720"/>
        <w:jc w:val="both"/>
        <w:rPr>
          <w:color w:val="000000"/>
        </w:rPr>
      </w:pPr>
      <w:r>
        <w:rPr>
          <w:color w:val="000000"/>
        </w:rPr>
        <w:t>☐    </w:t>
      </w:r>
      <w:r>
        <w:rPr>
          <w:rFonts w:ascii="Times New Roman;serif" w:hAnsi="Times New Roman;serif"/>
          <w:b w:val="false"/>
          <w:color w:val="000000"/>
          <w:sz w:val="22"/>
        </w:rPr>
        <w:t>Volume limitations (greater of 1% of outstanding securities of the same class or the average weekly trading volume during the last four weeks) are not exceeded, and the person is not part of an aggregated group;</w:t>
      </w:r>
    </w:p>
    <w:p>
      <w:pPr>
        <w:pStyle w:val="TextBody"/>
        <w:bidi w:val="0"/>
        <w:spacing w:lineRule="auto" w:line="288" w:before="120" w:after="283"/>
        <w:ind w:left="0" w:right="0" w:hanging="720"/>
        <w:jc w:val="both"/>
        <w:rPr>
          <w:color w:val="000000"/>
        </w:rPr>
      </w:pPr>
      <w:r>
        <w:rPr>
          <w:color w:val="000000"/>
        </w:rPr>
        <w:t>☐    </w:t>
      </w:r>
      <w:r>
        <w:rPr>
          <w:rFonts w:ascii="Times New Roman;serif" w:hAnsi="Times New Roman;serif"/>
          <w:b w:val="false"/>
          <w:color w:val="000000"/>
          <w:sz w:val="22"/>
        </w:rPr>
        <w:t>The manner of sale requirements will be met (a “brokers’ transaction” or directly with a market maker or a “riskless principal transaction”); and</w:t>
      </w:r>
    </w:p>
    <w:p>
      <w:pPr>
        <w:pStyle w:val="TextBody"/>
        <w:bidi w:val="0"/>
        <w:spacing w:lineRule="auto" w:line="288" w:before="120" w:after="283"/>
        <w:ind w:left="0" w:right="0" w:hanging="720"/>
        <w:jc w:val="both"/>
        <w:rPr>
          <w:color w:val="000000"/>
        </w:rPr>
      </w:pPr>
      <w:r>
        <w:rPr>
          <w:color w:val="000000"/>
        </w:rPr>
        <w:t>☐    </w:t>
      </w:r>
      <w:r>
        <w:rPr>
          <w:rFonts w:ascii="Times New Roman;serif" w:hAnsi="Times New Roman;serif"/>
          <w:b w:val="false"/>
          <w:color w:val="000000"/>
          <w:sz w:val="22"/>
        </w:rPr>
        <w:t>A Form 144, if applicable, has been completed and will be timely filed with the SEC.</w:t>
      </w:r>
    </w:p>
    <w:p>
      <w:pPr>
        <w:pStyle w:val="TextBody"/>
        <w:bidi w:val="0"/>
        <w:spacing w:lineRule="auto" w:line="288" w:before="120" w:after="283"/>
        <w:ind w:left="0" w:right="0" w:hanging="720"/>
        <w:jc w:val="both"/>
        <w:rPr/>
      </w:pPr>
      <w:r>
        <w:rPr>
          <w:color w:val="000000"/>
        </w:rPr>
        <w:t>☐    </w:t>
      </w:r>
      <w:r>
        <w:rPr>
          <w:rFonts w:ascii="Times New Roman;serif" w:hAnsi="Times New Roman;serif"/>
          <w:b/>
          <w:color w:val="000000"/>
          <w:sz w:val="22"/>
        </w:rPr>
        <w:t>Rule 10b-5 concerns.</w:t>
      </w:r>
      <w:r>
        <w:rPr>
          <w:color w:val="000000"/>
        </w:rPr>
        <w:t xml:space="preserve"> </w:t>
      </w:r>
      <w:r>
        <w:rPr>
          <w:rFonts w:ascii="Times New Roman;serif" w:hAnsi="Times New Roman;serif"/>
          <w:b w:val="false"/>
          <w:color w:val="000000"/>
          <w:sz w:val="22"/>
        </w:rPr>
        <w:t>The person has been reminded that trading is prohibited when in possession of any material nonpublic information regarding the Company that has not been adequately disclosed to the public. The individual has discussed with the Compliance Officer any information known to the individual or the Compliance Officer that the individual believes may be material.</w:t>
      </w:r>
    </w:p>
    <w:p>
      <w:pPr>
        <w:pStyle w:val="TextBody"/>
        <w:bidi w:val="0"/>
        <w:spacing w:lineRule="auto" w:line="288" w:before="120" w:after="240"/>
        <w:ind w:left="0" w:right="0" w:firstLine="360"/>
        <w:jc w:val="both"/>
        <w:rPr/>
      </w:pP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Applies if the individual is a director or an officer subject to Section 16 of the Securities Exchange Act of 1934.</w:t>
      </w:r>
    </w:p>
    <w:p>
      <w:pPr>
        <w:pStyle w:val="TextBody"/>
        <w:bidi w:val="0"/>
        <w:spacing w:lineRule="auto" w:line="288" w:before="480" w:after="283"/>
        <w:jc w:val="both"/>
        <w:rPr/>
      </w:pPr>
      <w:r>
        <w:rPr>
          <w:rFonts w:ascii="Times New Roman;serif" w:hAnsi="Times New Roman;serif"/>
          <w:b w:val="false"/>
          <w:color w:val="000000"/>
          <w:sz w:val="22"/>
        </w:rPr>
        <w:t>Date:    </w:t>
      </w:r>
      <w:r>
        <w:rPr>
          <w:color w:val="000000"/>
          <w:u w:val="single"/>
        </w:rPr>
        <w:t>    </w:t>
      </w:r>
      <w:r>
        <w:rPr>
          <w:color w:val="000000"/>
        </w:rPr>
        <w:t>    </w:t>
      </w:r>
      <w:r>
        <w:rPr>
          <w:color w:val="000000"/>
          <w:u w:val="single"/>
        </w:rPr>
        <w:t>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of Compliance Officer)</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A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A    </w:t>
                      </w:r>
                    </w:p>
                  </w:txbxContent>
                </v:textbox>
                <w10:wrap type="none"/>
              </v:rect>
            </w:pict>
          </mc:Fallback>
        </mc:AlternateContent>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(Print name of Compliance Officer)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am not aware of material nonpublic information regarding the Company. I am not trading on the basis of any material nonpublic information. The transaction is in accordance with the Insider Trading Policy and applicable law. I intend to comply with any applicable reporting and disclosure requirements on a timely basis. I understand that I must execute the trade by the end of the second trading day after the date on which the trade is cleared by the Compliance Officer. I understand that by signing below, I am not obligated to execute the trade.</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of person proposing to trade)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60655"/>
                <wp:effectExtent l="0" t="0" r="0" b="0"/>
                <wp:wrapNone/>
                <wp:docPr id="211" name="Frame1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SPECIAL BLACKOUT NOTICE</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Date</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CONFIDENTIAL COMMUNICATION</w:t>
      </w:r>
    </w:p>
    <w:p>
      <w:pPr>
        <w:pStyle w:val="TextBody"/>
        <w:bidi w:val="0"/>
        <w:spacing w:lineRule="auto" w:line="288" w:before="0" w:after="240"/>
        <w:jc w:val="both"/>
        <w:rPr/>
      </w:pPr>
      <w:r>
        <w:rPr>
          <w:rFonts w:ascii="Times New Roman;serif" w:hAnsi="Times New Roman;serif"/>
          <w:b w:val="false"/>
          <w:color w:val="000000"/>
          <w:sz w:val="22"/>
        </w:rPr>
        <w:t>SpyGlass Pharma,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has imposed a special blackout period in accordance with the terms of the Company’s Insider Trading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Pursuant to the Policy, and subject to the exceptions stated in the Policy, you may not engage in any transaction involving the securities of the Company until you receive official notice that the special blackout period is no longer in effect.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You may not disclose to others the fact that a special blackout period has been imposed. In addition, you should take care to handle any confidential information in your possession in accordance with the Company’s policies.</w:t>
      </w:r>
    </w:p>
    <w:p>
      <w:pPr>
        <w:pStyle w:val="TextBody"/>
        <w:bidi w:val="0"/>
        <w:spacing w:lineRule="auto" w:line="288" w:before="0" w:after="240"/>
        <w:jc w:val="both"/>
        <w:rPr/>
      </w:pPr>
      <w:r>
        <w:rPr>
          <w:rFonts w:ascii="Times New Roman;serif" w:hAnsi="Times New Roman;serif"/>
          <w:b w:val="false"/>
          <w:color w:val="000000"/>
          <w:sz w:val="22"/>
        </w:rPr>
        <w:t>If you have any questions at all, please contact me at [</w:t>
      </w:r>
      <w:r>
        <w:rPr>
          <w:rFonts w:ascii="Times New Roman;serif" w:hAnsi="Times New Roman;serif"/>
          <w:b w:val="false"/>
          <w:i/>
          <w:color w:val="000000"/>
          <w:sz w:val="22"/>
        </w:rPr>
        <w:t>insert contact information</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Compliance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B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B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REQUIREMENTS FOR TRADING PLANS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transactions under a trading plan to be exempt from (A) the prohibitions in the Company’s Insider Trading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of SpyGlass Pharma, Inc. (together with any subsidiaries, collectively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with respect to transactions made while aware of material nonpublic information and (B) the pre-clearance procedures and blackout periods established under the Policy, the trading plan must comply with the affirmative defense set forth in Exchange Act Rule 10b5-1 and must meet the following requirements (collectively, the “</w:t>
      </w:r>
      <w:r>
        <w:rPr>
          <w:rFonts w:ascii="Times New Roman;serif" w:hAnsi="Times New Roman;serif"/>
          <w:b/>
          <w:color w:val="000000"/>
          <w:sz w:val="22"/>
        </w:rPr>
        <w:t>Trading Plan Requirements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rPr>
        <w:t>The trading plan must be in writing and signed by the person adopting the trading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The trading plan must be adopted at a time when: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person adopting the trading plan is not aware of any material nonpublic information;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b.there is no quarterly, special or other trading blackout in effect with respect to the person adopting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rPr>
        <w:t>The trading plan must be entered in good faith and not as part of a plan or scheme to evade the prohibitions of Rule 10b5-1, and the person adopting the trading plan must act in good faith with respect to the trading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The trading plan must include representations that, on the date of adoption of the trading plan, the person adopting the trading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a.is not aware of material nonpublic information about the securities or the Company;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b.is adopting the trading plan in good faith and not as part of a plan or scheme to evade the prohibitions of Rule 10b5-1.</w:t>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rPr>
        <w:t xml:space="preserve">The first trade under the trading plan for directors and officers (as defined in Rule 16a-1(f) of the Securities Exchange Act of 1934)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the trading plan for all other persons (other than the Company) may not occur until the expiration of a cooling-off period that is 30 calendar days after adoption of the trading plan.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rPr>
        <w:t>The trading plan must have a minimum term of one year (starting from date of adoption of the trading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rPr>
        <w:t xml:space="preserve">No transactions may occur during the term of the trading plan (except for the “Exceptions to Trading Restrictions” identified in the Policy and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 xml:space="preserve">gifts) except for those transactions specified in the trading plan. In addition, the person adopting the trading plan may not have an outstanding (and may not subsequently enter into any additional) trading plan except as permitted by </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60655"/>
                <wp:effectExtent l="0" t="0" r="0" b="0"/>
                <wp:wrapNone/>
                <wp:docPr id="213" name="Frame1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Exhibit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Exhibit C</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rPr>
        <w:t>Any modification or change to the amount, price or timing of transactions under the trading plan is deemed the termination of the trading plan, and the adoption of a new trading plan (“</w:t>
      </w:r>
      <w:r>
        <w:rPr>
          <w:rFonts w:ascii="Times New Roman;serif" w:hAnsi="Times New Roman;serif"/>
          <w:b/>
          <w:color w:val="000000"/>
          <w:sz w:val="22"/>
        </w:rPr>
        <w:t>Modification</w:t>
      </w:r>
      <w:r>
        <w:rPr>
          <w:color w:val="000000"/>
        </w:rPr>
        <w:t>”</w:t>
      </w:r>
      <w:r>
        <w:rPr>
          <w:rFonts w:ascii="Times New Roman;serif" w:hAnsi="Times New Roman;serif"/>
          <w:b w:val="false"/>
          <w:color w:val="000000"/>
          <w:sz w:val="22"/>
        </w:rPr>
        <w:t>). Therefore, a Modification must be submitted to the Compliance Officer for approval in accordance with Section I of the Policy and is subject to the same conditions as a new trading plan as set forth in Sections 1 through 8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rPr>
        <w:t>Within the one year preceding the adoption or a Modification of a trading plan, a person may not have otherwise adopted or made a Modification to a plan more than once.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rPr>
        <w:t>A person may adopt a trading plan designed to cover a single trade only once in any consecutive 12-month period except as permitted by Rule 10b5-1.</w:t>
      </w:r>
    </w:p>
    <w:p>
      <w:pPr>
        <w:pStyle w:val="TextBody"/>
        <w:bidi w:val="0"/>
        <w:spacing w:lineRule="auto" w:line="288" w:before="0" w:after="24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rPr>
        <w:t>The Company must be promptly notified of any Modification or termination of the trading plan, including any suspension of trading under the trading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rPr>
        <w:t>If the trading plan grants discretion to a stockbroker or other person with respect to the execution of trades under the trading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person adopting the trading plan may not exercise any subsequent influence over how, when or whether to effect purchases or sales under the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person adopting the trading plan may not confer with the person administering the trading plan regarding the Company or its securities;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person administering the trading plan must provide prompt notice to the Company of the execution of a transaction pursuant to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rPr>
        <w:t>All transactions under the trading plan must be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rPr>
        <w:t>Any exceptions to the Trading Plan Requirements must be approved by the Compliance Officer or, in the case of directors and officers who are subject to Section 16 of the Securities Exchange Act of 1934, by the Compliance Officer, in consultation with the Company’s board of directors or an independent committee of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rPr>
        <w:t>The trading plan (including any Modification) must meet such other requirements as the Compliance Officer may determine.</w:t>
      </w:r>
    </w:p>
    <w:p>
      <w:pPr>
        <w:pStyle w:val="TextBody"/>
        <w:bidi w:val="0"/>
        <w:spacing w:before="0" w:after="0"/>
        <w:ind w:left="0" w:right="0" w:firstLine="72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60655"/>
                <wp:effectExtent l="0" t="0" r="0" b="0"/>
                <wp:wrapNone/>
                <wp:docPr id="214" name="Frame1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Exhibit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Exhibit C</w:t>
                      </w:r>
                    </w:p>
                  </w:txbxContent>
                </v:textbox>
                <w10:wrap type="none"/>
              </v:rect>
            </w:pict>
          </mc:Fallback>
        </mc:AlternateConten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60655"/>
                <wp:effectExtent l="0" t="0" r="0" b="0"/>
                <wp:wrapNone/>
                <wp:docPr id="215" name="Frame2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Exhibit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Exhibit C</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 E M O R A N D U M</w:t>
      </w:r>
    </w:p>
    <w:p>
      <w:pPr>
        <w:pStyle w:val="TextBody"/>
        <w:bidi w:val="0"/>
        <w:spacing w:lineRule="auto" w:line="288" w:before="0" w:after="240"/>
        <w:ind w:left="0" w:right="0" w:hanging="1080"/>
        <w:jc w:val="both"/>
        <w:rPr/>
      </w:pPr>
      <w:r>
        <w:rPr>
          <w:rFonts w:ascii="Times New Roman;serif" w:hAnsi="Times New Roman;serif"/>
          <w:b/>
          <w:color w:val="000000"/>
          <w:sz w:val="22"/>
        </w:rPr>
        <w:t>To:    </w:t>
      </w:r>
      <w:r>
        <w:rPr>
          <w:rFonts w:ascii="Times New Roman;serif" w:hAnsi="Times New Roman;serif"/>
          <w:b w:val="false"/>
          <w:color w:val="000000"/>
          <w:sz w:val="22"/>
        </w:rPr>
        <w:t>Directors, officers, employees, consultants, contractors and advisors of SpyGlass Pharma, Inc.</w:t>
      </w:r>
    </w:p>
    <w:p>
      <w:pPr>
        <w:pStyle w:val="TextBody"/>
        <w:bidi w:val="0"/>
        <w:spacing w:lineRule="auto" w:line="288" w:before="0" w:after="240"/>
        <w:ind w:left="0" w:right="0" w:hanging="1080"/>
        <w:jc w:val="both"/>
        <w:rPr/>
      </w:pPr>
      <w:r>
        <w:rPr>
          <w:rFonts w:ascii="Times New Roman;serif" w:hAnsi="Times New Roman;serif"/>
          <w:b/>
          <w:color w:val="000000"/>
          <w:sz w:val="22"/>
        </w:rPr>
        <w:t>From:    </w:t>
      </w:r>
      <w:r>
        <w:rPr>
          <w:rFonts w:ascii="Times New Roman;serif" w:hAnsi="Times New Roman;serif"/>
          <w:b w:val="false"/>
          <w:color w:val="000000"/>
          <w:sz w:val="22"/>
        </w:rPr>
        <w:t>SpyGlass Pharma, Inc.</w:t>
      </w:r>
    </w:p>
    <w:p>
      <w:pPr>
        <w:pStyle w:val="TextBody"/>
        <w:bidi w:val="0"/>
        <w:spacing w:lineRule="auto" w:line="288" w:before="0" w:after="240"/>
        <w:ind w:left="0" w:right="0" w:hanging="1080"/>
        <w:jc w:val="both"/>
        <w:rPr/>
      </w:pPr>
      <w:r>
        <w:rPr>
          <w:rFonts w:ascii="Times New Roman;serif" w:hAnsi="Times New Roman;serif"/>
          <w:b/>
          <w:color w:val="000000"/>
          <w:sz w:val="22"/>
        </w:rPr>
        <w:t>Date:    </w:t>
      </w:r>
      <w:r>
        <w:rPr>
          <w:rFonts w:ascii="Times New Roman;serif" w:hAnsi="Times New Roman;serif"/>
          <w:b w:val="false"/>
          <w:color w:val="000000"/>
          <w:sz w:val="22"/>
        </w:rPr>
        <w:t>[______]</w:t>
      </w:r>
    </w:p>
    <w:p>
      <w:pPr>
        <w:pStyle w:val="TextBody"/>
        <w:bidi w:val="0"/>
        <w:spacing w:lineRule="auto" w:line="288" w:before="0" w:after="0"/>
        <w:ind w:left="0" w:right="0" w:hanging="1080"/>
        <w:jc w:val="both"/>
        <w:rPr>
          <w:rFonts w:ascii="Times New Roman;serif" w:hAnsi="Times New Roman;serif"/>
          <w:b/>
          <w:color w:val="000000"/>
          <w:sz w:val="22"/>
        </w:rPr>
      </w:pPr>
      <w:r>
        <w:rPr>
          <w:rFonts w:ascii="Times New Roman;serif" w:hAnsi="Times New Roman;serif"/>
          <w:b/>
          <w:color w:val="000000"/>
          <w:sz w:val="22"/>
        </w:rPr>
        <w:t>Re:    Insider Trading Policy</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2"/>
        </w:rPr>
        <w:t>Attached is a copy of our Insider Trading Policy, which governs transactions involving trading in securities by directors, officers, employees, consultants, contractors and advisors of SpyGlass Pharma, Inc. (together with any subsidiaries, collectively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As described in the Insider Trading Policy, violations of insider trading laws can result in significant civil and criminal liability. Accordingly, please carefully review the materials provided.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reading the Insider Trading Policy, please sign the receipt and acknowledgment at the bottom of this memorandum and return it to the Compliance Officer. The Insider Trading Policy applies to you regardless of whether you sign the receipt and acknowledgment at the bottom of this memorandum and return it to the Compliance Officer.</w:t>
      </w:r>
    </w:p>
    <w:p>
      <w:pPr>
        <w:pStyle w:val="TextBody"/>
        <w:bidi w:val="0"/>
        <w:spacing w:lineRule="auto" w:line="288" w:before="0" w:after="240"/>
        <w:jc w:val="both"/>
        <w:rPr/>
      </w:pPr>
      <w:r>
        <w:rPr>
          <w:rFonts w:ascii="Times New Roman;serif" w:hAnsi="Times New Roman;serif"/>
          <w:b w:val="false"/>
          <w:color w:val="000000"/>
          <w:sz w:val="22"/>
        </w:rPr>
        <w:t>If you have any questions about the Insider Trading Policy or insider trading laws generally or about any transaction involving the securities of the Company, please contact the Compliance Officer at [</w:t>
      </w:r>
      <w:r>
        <w:rPr>
          <w:rFonts w:ascii="Times New Roman;serif" w:hAnsi="Times New Roman;serif"/>
          <w:b w:val="false"/>
          <w:i/>
          <w:color w:val="000000"/>
          <w:sz w:val="22"/>
        </w:rPr>
        <w:t>email address</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Attachment(s)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Receipt and Acknowledgment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I have received and read the Insider Trading Policy.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I have received satisfactory answers to any questions that I had regarding the Insider Trading Policy and insider trading in general.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I understand and acknowledge that the Insider Trading Policy applies to 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I understand and agree to comply with the Insider Trading Policy.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I understand that my failure to comply in all respects with the Insider Trading Policy is a basis for termination of my employment or other service relationship with the Company as well as any other appropriate discipline.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I understand and agree that the Company may give stop transfer and other instructions to the Company’s transfer agent with respect to transactions that the Company considers to be in contravention of the Insider Trading Policy.</w:t>
      </w:r>
    </w:p>
    <w:p>
      <w:pPr>
        <w:pStyle w:val="TextBody"/>
        <w:bidi w:val="0"/>
        <w:spacing w:lineRule="auto" w:line="288" w:before="360" w:after="283"/>
        <w:jc w:val="both"/>
        <w:rPr/>
      </w:pPr>
      <w:r>
        <w:rPr>
          <w:color w:val="000000"/>
          <w:u w:val="single"/>
        </w:rPr>
        <w:t>    </w:t>
      </w:r>
      <w:r>
        <w:rPr>
          <w:color w:val="000000"/>
        </w:rPr>
        <w:t>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Signature        Date</w:t>
      </w:r>
    </w:p>
    <w:p>
      <w:pPr>
        <w:pStyle w:val="TextBody"/>
        <w:bidi w:val="0"/>
        <w:spacing w:lineRule="auto" w:line="288" w:before="360" w:after="283"/>
        <w:jc w:val="both"/>
        <w:rPr>
          <w:color w:val="000000"/>
          <w:u w:val="single"/>
        </w:rPr>
      </w:pPr>
      <w:r>
        <w:rPr>
          <w:color w:val="000000"/>
          <w:u w:val="single"/>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Print 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Registration Statement No. 333-293280 on Form S-8 of our report dated March 26, 2026, relating to the financial statements of SpyGlass Pharma, Inc. appearing in this Annual Report on Form 10-K for the year ended December 31, 2025.</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Costa Mesa, California</w:t>
        <w:br/>
        <w:t>March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 THE SARBANES-OXLEY ACT OF 2002</w:t>
      </w:r>
    </w:p>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 Patrick Mooney, certify that:</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1.I have reviewed this Annual Report on Form 10-K of SpyGlass Pharma, Inc.;</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March 26,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Patrick Mooney    </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Patrick Mooney</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Chief Executive Officer</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2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 THE SARBANES-OXLEY ACT OF 2002</w:t>
      </w:r>
    </w:p>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 Jean-Frédéric Viret, certify that:</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1.I have reviewed this Annual Report on Form 10-K of SpyGlass Pharma, Inc.;</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March 26,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Jean-Frédéric Viret    </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Jean-Frédéric Viret</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Chief Financial Officer</w:t>
      </w:r>
    </w:p>
    <w:p>
      <w:pPr>
        <w:pStyle w:val="TextBody"/>
        <w:bidi w:val="0"/>
        <w:spacing w:lineRule="auto" w:line="288"/>
        <w:jc w:val="left"/>
        <w:rPr>
          <w:rFonts w:ascii="Times New Roman;serif" w:hAnsi="Times New Roman;serif"/>
          <w:b w:val="false"/>
          <w:i/>
          <w:color w:val="000000"/>
          <w:sz w:val="22"/>
        </w:rPr>
      </w:pPr>
      <w:r>
        <w:rPr>
          <w:rFonts w:ascii="Times New Roman;serif" w:hAnsi="Times New Roman;serif"/>
          <w:b w:val="false"/>
          <w:i/>
          <w:color w:val="000000"/>
          <w:sz w:val="22"/>
        </w:rPr>
        <w:t>(Principal Accounting and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SPYGLASS PHARMA, INC.</w:t>
      </w:r>
    </w:p>
    <w:p>
      <w:pPr>
        <w:pStyle w:val="TextBody"/>
        <w:bidi w:val="0"/>
        <w:spacing w:lineRule="auto" w:line="288" w:before="0" w:after="0"/>
        <w:jc w:val="center"/>
        <w:rPr/>
      </w:pPr>
      <w:r>
        <w:rPr>
          <w:rFonts w:ascii="Times New Roman;serif" w:hAnsi="Times New Roman;serif"/>
          <w:b/>
          <w:color w:val="000000"/>
          <w:sz w:val="22"/>
        </w:rPr>
        <w:t>CERTIFICATION OF PRINCIPAL EXECUTIVE OFFICER PURSUANT TO</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2"/>
        </w:rPr>
        <w:t>18 U.S.C. SECTION 1350,</w:t>
      </w:r>
      <w:r>
        <w:rPr>
          <w:color w:val="000000"/>
        </w:rPr>
        <w:t xml:space="preserve"> </w:t>
      </w: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connection with the Annual Report of SpyGlass Pharma, Inc. (the “Company”) on Form 10-K for the year ended December 31, 2025, as filed with the Securities and Exchange Commission on the date hereof (the “Report”), I, Patrick Mooney, certify, pursuant to 18 U.S.C. Section 1350, as adopted pursuant to Section 906 of the Sarbanes-Oxley Act of 2002, that to my knowledge: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March 26,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Patrick Mooney        </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Patrick Mooney</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Chief Executive Officer</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(Principal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SPYGLASS PHARMA,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PRINCIPAL FINANCIAL OFFICER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 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 connection with the Annual Report of SpyGlass Pharma, Inc. (the “Company”) on Form 10-K for the year ended December 31, 2025, as filed with the Securities and Exchange Commission on the date hereof (the “Report”), I, Jean-Frédéric Viret, certify, pursuant to 18 U.S.C. Section 1350, as adopted pursuant to Section 906 of the Sarbanes-Oxley Act of 2002, that to my knowledge: </w:t>
      </w:r>
    </w:p>
    <w:p>
      <w:pPr>
        <w:pStyle w:val="TextBody"/>
        <w:bidi w:val="0"/>
        <w:spacing w:before="240" w:after="283"/>
        <w:ind w:left="0" w:right="0" w:firstLine="816"/>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March 26,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Jean-Frédéric Viret        </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Jean-Frédéric Viret</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Chief Financial Officer</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(Principal Accounting and Financial Officer)</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97.1</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SPYGLASS PHARMA, INC.</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COMPENSATION RECOVERY POLICY</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Adopted on January 28, 2026</w:t>
      </w:r>
    </w:p>
    <w:p>
      <w:pPr>
        <w:pStyle w:val="TextBody"/>
        <w:bidi w:val="0"/>
        <w:spacing w:lineRule="auto" w:line="288" w:before="240" w:after="283"/>
        <w:ind w:left="0" w:right="0" w:firstLine="720"/>
        <w:jc w:val="both"/>
        <w:rPr/>
      </w:pPr>
      <w:r>
        <w:rPr>
          <w:rFonts w:ascii="Times New Roman;serif" w:hAnsi="Times New Roman;serif"/>
          <w:b w:val="false"/>
          <w:color w:val="000000"/>
          <w:sz w:val="22"/>
        </w:rPr>
        <w:t>Spyglass Pharma,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is committed to strong corporate governance. As part of this commitment, the Company’s Board of Directors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has adopted this clawback policy called the Compensation Recovery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The Policy is intended to further the Company’s pay-for-performance philosophy and to comply with applicable law by providing rules related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The Policy is intended to comply with, and will be interpreted in a manner consistent with, Section 10D of the Securities Exchange Act of 1934 (the “</w:t>
      </w:r>
      <w:r>
        <w:rPr>
          <w:rFonts w:ascii="Times New Roman;serif" w:hAnsi="Times New Roman;serif"/>
          <w:b/>
          <w:color w:val="000000"/>
          <w:sz w:val="22"/>
          <w:shd w:fill="FFFFFF" w:val="clear"/>
        </w:rPr>
        <w:t>Exchange Act</w:t>
      </w:r>
      <w:r>
        <w:rPr>
          <w:color w:val="000000"/>
          <w:shd w:fill="FFFFFF" w:val="clear"/>
        </w:rPr>
        <w:t>”</w:t>
      </w:r>
      <w:r>
        <w:rPr>
          <w:rFonts w:ascii="Times New Roman;serif" w:hAnsi="Times New Roman;serif"/>
          <w:b w:val="false"/>
          <w:color w:val="000000"/>
          <w:sz w:val="22"/>
          <w:shd w:fill="FFFFFF" w:val="clear"/>
        </w:rPr>
        <w:t>), with Exchange Act Rule 10D-1 and with the listing standards of the national securities exchange (the “</w:t>
      </w:r>
      <w:r>
        <w:rPr>
          <w:rFonts w:ascii="Times New Roman;serif" w:hAnsi="Times New Roman;serif"/>
          <w:b/>
          <w:color w:val="000000"/>
          <w:sz w:val="22"/>
          <w:shd w:fill="FFFFFF" w:val="clear"/>
        </w:rPr>
        <w:t>Exchange</w:t>
      </w:r>
      <w:r>
        <w:rPr>
          <w:color w:val="000000"/>
          <w:shd w:fill="FFFFFF" w:val="clear"/>
        </w:rPr>
        <w:t>”</w:t>
      </w:r>
      <w:r>
        <w:rPr>
          <w:rFonts w:ascii="Times New Roman;serif" w:hAnsi="Times New Roman;serif"/>
          <w:b w:val="false"/>
          <w:color w:val="000000"/>
          <w:sz w:val="22"/>
          <w:shd w:fill="FFFFFF" w:val="clear"/>
        </w:rPr>
        <w:t>) on which the securities of the Company are listed.</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This Policy is effective as of the effective date of the first registration statement that is filed by the Company and declared effective pursuant to Section 12(b) of the Exchange Act with respect to the Company’s securities (the “</w:t>
      </w:r>
      <w:r>
        <w:rPr>
          <w:rFonts w:ascii="Times New Roman;serif" w:hAnsi="Times New Roman;serif"/>
          <w:b/>
          <w:color w:val="000000"/>
          <w:sz w:val="22"/>
          <w:shd w:fill="FFFFFF" w:val="clear"/>
        </w:rPr>
        <w:t>Effective Date</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Persons Covered by the Policy</w:t>
      </w:r>
    </w:p>
    <w:p>
      <w:pPr>
        <w:pStyle w:val="TextBody"/>
        <w:bidi w:val="0"/>
        <w:spacing w:lineRule="auto" w:line="288" w:before="240" w:after="283"/>
        <w:ind w:left="0" w:right="0" w:firstLine="720"/>
        <w:jc w:val="both"/>
        <w:rPr/>
      </w:pPr>
      <w:r>
        <w:rPr>
          <w:rFonts w:ascii="Times New Roman;serif" w:hAnsi="Times New Roman;serif"/>
          <w:b w:val="false"/>
          <w:color w:val="262626"/>
          <w:sz w:val="22"/>
          <w:shd w:fill="FFFFFF" w:val="clear"/>
        </w:rPr>
        <w:t>The Policy is binding and enforceable against all “</w:t>
      </w:r>
      <w:r>
        <w:rPr>
          <w:rFonts w:ascii="Times New Roman;serif" w:hAnsi="Times New Roman;serif"/>
          <w:b/>
          <w:color w:val="262626"/>
          <w:sz w:val="22"/>
          <w:shd w:fill="FFFFFF" w:val="clear"/>
        </w:rPr>
        <w:t>Covered Executives</w:t>
      </w:r>
      <w:r>
        <w:rPr>
          <w:rFonts w:ascii="Times New Roman;serif" w:hAnsi="Times New Roman;serif"/>
          <w:b w:val="false"/>
          <w:color w:val="262626"/>
          <w:sz w:val="22"/>
          <w:shd w:fill="FFFFFF" w:val="clear"/>
        </w:rPr>
        <w:t>,” which means each individual who is or was ever designated as an “officer” by the Board in accordance with Exchange Act Rule 16a-1(f) (a “</w:t>
      </w:r>
      <w:r>
        <w:rPr>
          <w:rFonts w:ascii="Times New Roman;serif" w:hAnsi="Times New Roman;serif"/>
          <w:b/>
          <w:color w:val="262626"/>
          <w:sz w:val="22"/>
          <w:shd w:fill="FFFFFF" w:val="clear"/>
        </w:rPr>
        <w:t>Section 16 Officer</w:t>
      </w:r>
      <w:r>
        <w:rPr>
          <w:color w:val="262626"/>
          <w:shd w:fill="FFFFFF" w:val="clear"/>
        </w:rPr>
        <w:t>”</w:t>
      </w:r>
      <w:r>
        <w:rPr>
          <w:rFonts w:ascii="Times New Roman;serif" w:hAnsi="Times New Roman;serif"/>
          <w:b w:val="false"/>
          <w:color w:val="262626"/>
          <w:sz w:val="22"/>
          <w:shd w:fill="FFFFFF" w:val="clear"/>
        </w:rPr>
        <w:t>). Each Covered Executive will be required to sign and return to the Company an acknowledgement that such Covered Executive will be bound by the terms and comply with the Policy. The failure to obtain such acknowledgement will have no impact on the applicability or enforceability of the Policy.</w:t>
      </w:r>
    </w:p>
    <w:p>
      <w:pPr>
        <w:pStyle w:val="TextBody"/>
        <w:bidi w:val="0"/>
        <w:spacing w:lineRule="auto" w:line="288" w:before="24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Administration of the Policy</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The compensation committee (the “</w:t>
      </w:r>
      <w:r>
        <w:rPr>
          <w:rFonts w:ascii="Times New Roman;serif" w:hAnsi="Times New Roman;serif"/>
          <w:b/>
          <w:color w:val="000000"/>
          <w:sz w:val="22"/>
          <w:shd w:fill="FFFFFF" w:val="clear"/>
        </w:rPr>
        <w:t>Committee</w:t>
      </w:r>
      <w:r>
        <w:rPr>
          <w:color w:val="000000"/>
          <w:shd w:fill="FFFFFF" w:val="clear"/>
        </w:rPr>
        <w:t>”</w:t>
      </w:r>
      <w:r>
        <w:rPr>
          <w:rFonts w:ascii="Times New Roman;serif" w:hAnsi="Times New Roman;serif"/>
          <w:b w:val="false"/>
          <w:color w:val="000000"/>
          <w:sz w:val="22"/>
          <w:shd w:fill="FFFFFF" w:val="clear"/>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Accounting Restatements Requiring Application of the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27660"/>
                <wp:effectExtent l="0" t="0" r="0" b="0"/>
                <wp:wrapNone/>
                <wp:docPr id="222" name="Frame20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that is material to the previously issued financial statements, or that would result in a material misstatement if the error were corrected in the current period or left uncorrected in the current period (an “</w:t>
      </w:r>
      <w:r>
        <w:rPr>
          <w:rFonts w:ascii="Times New Roman;serif" w:hAnsi="Times New Roman;serif"/>
          <w:b/>
          <w:color w:val="000000"/>
          <w:sz w:val="22"/>
        </w:rPr>
        <w:t>Accounting Restatement</w:t>
      </w:r>
      <w:r>
        <w:rPr>
          <w:color w:val="000000"/>
        </w:rPr>
        <w:t>”</w:t>
      </w:r>
      <w:r>
        <w:rPr>
          <w:rFonts w:ascii="Times New Roman;serif" w:hAnsi="Times New Roman;serif"/>
          <w:b w:val="false"/>
          <w:color w:val="000000"/>
          <w:sz w:val="22"/>
        </w:rPr>
        <w:t>), then the Committee must determine the Excess Compensation, if any, that must be recovered. The Company’s obligation to recover Excess Compensation is not dependent on if or when restated financial statements are filed.</w:t>
      </w:r>
    </w:p>
    <w:p>
      <w:pPr>
        <w:pStyle w:val="TextBody"/>
        <w:bidi w:val="0"/>
        <w:spacing w:lineRule="auto" w:line="288" w:before="24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Compensation Covered by the Policy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The Policy applies to certain </w:t>
      </w:r>
      <w:r>
        <w:rPr>
          <w:rFonts w:ascii="Times New Roman;serif" w:hAnsi="Times New Roman;serif"/>
          <w:b/>
          <w:color w:val="000000"/>
          <w:sz w:val="22"/>
        </w:rPr>
        <w:t>Incentive-Based Compensation</w:t>
      </w:r>
      <w:r>
        <w:rPr>
          <w:color w:val="000000"/>
        </w:rPr>
        <w:t xml:space="preserve"> </w:t>
      </w:r>
      <w:r>
        <w:rPr>
          <w:rFonts w:ascii="Times New Roman;serif" w:hAnsi="Times New Roman;serif"/>
          <w:b w:val="false"/>
          <w:color w:val="000000"/>
          <w:sz w:val="22"/>
        </w:rPr>
        <w:t xml:space="preserve">(certain terms used in this Section are defined below) that is </w:t>
      </w:r>
      <w:r>
        <w:rPr>
          <w:rFonts w:ascii="Times New Roman;serif" w:hAnsi="Times New Roman;serif"/>
          <w:b/>
          <w:color w:val="000000"/>
          <w:sz w:val="22"/>
        </w:rPr>
        <w:t>Received</w:t>
      </w:r>
      <w:r>
        <w:rPr>
          <w:color w:val="000000"/>
        </w:rPr>
        <w:t xml:space="preserve"> </w:t>
      </w:r>
      <w:r>
        <w:rPr>
          <w:rFonts w:ascii="Times New Roman;serif" w:hAnsi="Times New Roman;serif"/>
          <w:b w:val="false"/>
          <w:color w:val="000000"/>
          <w:sz w:val="22"/>
        </w:rPr>
        <w:t xml:space="preserve">on or after the Effective Date, during the </w:t>
      </w:r>
      <w:r>
        <w:rPr>
          <w:rFonts w:ascii="Times New Roman;serif" w:hAnsi="Times New Roman;serif"/>
          <w:b/>
          <w:color w:val="000000"/>
          <w:sz w:val="22"/>
        </w:rPr>
        <w:t>Covered Period</w:t>
      </w:r>
      <w:r>
        <w:rPr>
          <w:color w:val="000000"/>
        </w:rPr>
        <w:t xml:space="preserve"> </w:t>
      </w:r>
      <w:r>
        <w:rPr>
          <w:rFonts w:ascii="Times New Roman;serif" w:hAnsi="Times New Roman;serif"/>
          <w:b w:val="false"/>
          <w:color w:val="000000"/>
          <w:sz w:val="22"/>
        </w:rPr>
        <w:t>while the Company has a class of securities listed on a national securities exchange. Incentive-Based Compensation is considered “</w:t>
      </w:r>
      <w:r>
        <w:rPr>
          <w:rFonts w:ascii="Times New Roman;serif" w:hAnsi="Times New Roman;serif"/>
          <w:b/>
          <w:color w:val="000000"/>
          <w:sz w:val="22"/>
        </w:rPr>
        <w:t>Clawback Eligible Incentive-Based Compensation</w:t>
      </w:r>
      <w:r>
        <w:rPr>
          <w:color w:val="000000"/>
        </w:rPr>
        <w:t xml:space="preserve">” </w:t>
      </w:r>
      <w:r>
        <w:rPr>
          <w:rFonts w:ascii="Times New Roman;serif" w:hAnsi="Times New Roman;serif"/>
          <w:b w:val="false"/>
          <w:color w:val="000000"/>
          <w:sz w:val="22"/>
        </w:rPr>
        <w:t>if the Incentive-Based Compensation is Received by a person after such person became a Section 16 Officer and the person served as a Section 16 Officer at any time during the performance period for the Incentive-Based Compensation. The “</w:t>
      </w:r>
      <w:r>
        <w:rPr>
          <w:rFonts w:ascii="Times New Roman;serif" w:hAnsi="Times New Roman;serif"/>
          <w:b/>
          <w:color w:val="000000"/>
          <w:sz w:val="22"/>
        </w:rPr>
        <w:t>Excess Compensation</w:t>
      </w:r>
      <w:r>
        <w:rPr>
          <w:color w:val="000000"/>
        </w:rPr>
        <w:t xml:space="preserve">” </w:t>
      </w:r>
      <w:r>
        <w:rPr>
          <w:rFonts w:ascii="Times New Roman;serif" w:hAnsi="Times New Roman;serif"/>
          <w:b w:val="false"/>
          <w:color w:val="000000"/>
          <w:sz w:val="22"/>
        </w:rPr>
        <w:t>that must be recovered is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incentive-based compensation.”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Incentive-Based Compensation</w:t>
      </w:r>
      <w:r>
        <w:rPr>
          <w:color w:val="000000"/>
        </w:rPr>
        <w:t xml:space="preserve">” </w:t>
      </w:r>
      <w:r>
        <w:rPr>
          <w:rFonts w:ascii="Times New Roman;serif" w:hAnsi="Times New Roman;serif"/>
          <w:b w:val="false"/>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r>
        <w:rPr>
          <w:color w:val="000000"/>
        </w:rPr>
        <w:t xml:space="preserve"> </w: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Financial Reporting Measures</w:t>
      </w:r>
      <w:r>
        <w:rPr>
          <w:color w:val="000000"/>
        </w:rPr>
        <w:t xml:space="preserve">” </w:t>
      </w:r>
      <w:r>
        <w:rPr>
          <w:rFonts w:ascii="Times New Roman;serif" w:hAnsi="Times New Roman;serif"/>
          <w:b w:val="false"/>
          <w:color w:val="000000"/>
          <w:sz w:val="22"/>
        </w:rPr>
        <w:t xml:space="preserve">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 </w:t>
      </w:r>
    </w:p>
    <w:p>
      <w:pPr>
        <w:pStyle w:val="TextBody"/>
        <w:bidi w:val="0"/>
        <w:spacing w:lineRule="auto" w:line="288" w:before="240" w:after="283"/>
        <w:ind w:left="0" w:right="0" w:firstLine="720"/>
        <w:jc w:val="both"/>
        <w:rPr/>
      </w:pPr>
      <w:r>
        <w:rPr>
          <w:rFonts w:ascii="Times New Roman;serif" w:hAnsi="Times New Roman;serif"/>
          <w:b w:val="false"/>
          <w:color w:val="000000"/>
          <w:sz w:val="22"/>
          <w:shd w:fill="FFFFFF" w:val="clear"/>
        </w:rPr>
        <w:t>Incentive-Based Compensation is “</w:t>
      </w:r>
      <w:r>
        <w:rPr>
          <w:rFonts w:ascii="Times New Roman;serif" w:hAnsi="Times New Roman;serif"/>
          <w:b/>
          <w:color w:val="000000"/>
          <w:sz w:val="22"/>
          <w:shd w:fill="FFFFFF" w:val="clear"/>
        </w:rPr>
        <w:t>Received</w:t>
      </w:r>
      <w:r>
        <w:rPr>
          <w:color w:val="000000"/>
          <w:shd w:fill="FFFFFF" w:val="clear"/>
        </w:rPr>
        <w:t xml:space="preserve">” </w:t>
      </w:r>
      <w:r>
        <w:rPr>
          <w:rFonts w:ascii="Times New Roman;serif" w:hAnsi="Times New Roman;serif"/>
          <w:b w:val="false"/>
          <w:color w:val="000000"/>
          <w:sz w:val="22"/>
          <w:shd w:fill="FFFFFF" w:val="clear"/>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Covered Period</w:t>
      </w:r>
      <w:r>
        <w:rPr>
          <w:color w:val="000000"/>
        </w:rPr>
        <w:t xml:space="preserve">” </w:t>
      </w:r>
      <w:r>
        <w:rPr>
          <w:rFonts w:ascii="Times New Roman;serif" w:hAnsi="Times New Roman;serif"/>
          <w:b w:val="false"/>
          <w:color w:val="000000"/>
          <w:sz w:val="22"/>
        </w:rPr>
        <w:t xml:space="preserve">means the three completed fiscal years immediately preceding the Accounting Restatement Determination Date. In addition, Covered Period can include certain transition periods resulting from a change in the Company’s fiscal year.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62560"/>
                <wp:effectExtent l="0" t="0" r="0" b="0"/>
                <wp:wrapNone/>
                <wp:docPr id="223" name="Frame20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2"/>
        </w:rPr>
        <w:t>Accounting Restatement Determination Date</w:t>
      </w:r>
      <w:r>
        <w:rPr>
          <w:color w:val="000000"/>
        </w:rPr>
        <w:t xml:space="preserve">” </w:t>
      </w:r>
      <w:r>
        <w:rPr>
          <w:rFonts w:ascii="Times New Roman;serif" w:hAnsi="Times New Roman;serif"/>
          <w:b w:val="false"/>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Repayment of Excess Compensation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may include: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(a)requiring reimbursement of cash Incentive-Based Compensation previously paid;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(b)seeking recovery of any gain realized on the vesting, exercise, settlement, sale, transfer, or other disposition of any equity-based awards, without regard to whether such awards are Incentive-Based Compensation;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(c)offsetting the amount to be recovered from any unpaid or future compensation to be paid by the Company or any affiliate of the Company to the Covered Executive, including payments of severance that might otherwise be due in connection with an Executive Officer’s termination of employment and without regard to whether such amounts are Incentive-Based Compensation;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(d)cancelling outstanding vested or unvested equity awards, without regard to whether such awards are Incentive-Based Compensation; and/or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(e)taking any other remedial and recovery action permitted by law, as determined by the Committee.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repayment of Excess Compensation must be made by a Covered Executive notwithstanding any Covered Executive’s belief (whether or not legitimate) that the Excess Compensation had been previously earned under applicable law and therefore is not subject to clawback.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could lead to (without limitation) termination of that Executive Officer’s employment for cause for failure to comply with a Company policy,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to discipline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62560"/>
                <wp:effectExtent l="0" t="0" r="0" b="0"/>
                <wp:wrapNone/>
                <wp:docPr id="224" name="Frame20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employment arrangements with such Covered Executive and the requirement to apply this no-fault and non-discretionary clawback policy should bear no weight on whether any such termination was or was not a termination for cause (other than in a circumstance where the termination of employment was due to the Covered Executive’s failure to comply with their obligations under the Policy).</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Limited Exceptions to the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must recover the Excess Compensation in accordance with the Policy except to the limited extent that any of the conditions set forth below are met, and the Committee determines that recovery of the Excess Compensation would be impracticable: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(b)Recovery would likely cause an otherwise tax-qualified retirement plan, under which benefits are broadly available to employees of the Company, to fail to meet the legal requirements of 26 U.S.C. 401(a)(13) or 26 U.S.C. 411(a) and regulations thereunder.</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Other Important Information in the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lineRule="auto" w:line="288" w:before="240" w:after="283"/>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pursuant to the Policy, the Company will be entitled to seek recovery in order to comply with applicable law, regardless of the terms of any release of claims or separation agreement that individual may have signed.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Committee or Board may review and modify the Policy from time to time.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Policy will terminate and no longer be enforceable when the Company ceases to be listed issuer within the meaning of Section 10D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62560"/>
                <wp:effectExtent l="0" t="0" r="0" b="0"/>
                <wp:wrapNone/>
                <wp:docPr id="225" name="Frame2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ACKNOWLEDGEMENT</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 acknowledge that I have received and read the Compensation Recovery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of SpyGlass Pharma,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If it is determined by the Committee (as defined in the Policy) that any amounts granted, awarded, paid or provided to me should be forfeited or reimbursed to the Company or its affiliates, I will promptly take any action necessary to effectuate such forfeiture and/or reimbursement.</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In the event of any conflict between the Policy and the terms of any employment or other agreement to which I am a party, or any compensation or benefit plan, program or arrangement in which I participate, the terms of the Policy will govern.</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 acknowledge that if I have questions concerning the meaning or application of the Policy, it is my responsibility to seek guidance from the Compliance Officer, Human Resources or my own personal advisers.</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2"/>
        </w:rPr>
        <w:t>I acknowledge that neither this Acknowledgement nor the Policy is meant to constitute an employment contract.</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Please review, sign and return this form to Human Resources.</w:t>
      </w:r>
    </w:p>
    <w:tbl>
      <w:tblPr>
        <w:tblW w:w="2024" w:type="dxa"/>
        <w:jc w:val="left"/>
        <w:tblInd w:w="0" w:type="dxa"/>
        <w:tblLayout w:type="fixed"/>
        <w:tblCellMar>
          <w:top w:w="28" w:type="dxa"/>
          <w:left w:w="28" w:type="dxa"/>
          <w:bottom w:w="28" w:type="dxa"/>
          <w:right w:w="28" w:type="dxa"/>
        </w:tblCellMar>
      </w:tblPr>
      <w:tblGrid>
        <w:gridCol w:w="647"/>
        <w:gridCol w:w="570"/>
        <w:gridCol w:w="807"/>
      </w:tblGrid>
      <w:tr>
        <w:trPr/>
        <w:tc>
          <w:tcPr>
            <w:tcW w:w="64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Covered Executive</w:t>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360" w:after="283"/>
              <w:jc w:val="left"/>
              <w:rPr>
                <w:color w:val="000000"/>
                <w:u w:val="single"/>
              </w:rPr>
            </w:pPr>
            <w:r>
              <w:rPr>
                <w:color w:val="000000"/>
                <w:u w:val="single"/>
              </w:rPr>
              <w:t>    </w:t>
            </w:r>
          </w:p>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val="false"/>
                <w:i/>
                <w:color w:val="000000"/>
                <w:sz w:val="22"/>
              </w:rPr>
              <w:t>print name</w:t>
            </w:r>
            <w:r>
              <w:rPr>
                <w:rFonts w:ascii="Times New Roman;serif" w:hAnsi="Times New Roman;serif"/>
                <w:b w:val="false"/>
                <w:color w:val="000000"/>
                <w:sz w:val="22"/>
              </w:rPr>
              <w:t>)</w:t>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360" w:after="283"/>
              <w:jc w:val="left"/>
              <w:rPr>
                <w:color w:val="000000"/>
                <w:u w:val="single"/>
              </w:rPr>
            </w:pPr>
            <w:r>
              <w:rPr>
                <w:color w:val="000000"/>
                <w:u w:val="single"/>
              </w:rPr>
              <w:t>    </w:t>
            </w:r>
          </w:p>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rFonts w:ascii="Times New Roman;serif" w:hAnsi="Times New Roman;serif"/>
                <w:b w:val="false"/>
                <w:color w:val="000000"/>
                <w:sz w:val="22"/>
              </w:rPr>
              <w:t>)</w:t>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360" w:after="283"/>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(date)</w:t>
            </w:r>
          </w:p>
        </w:tc>
      </w:tr>
    </w:tbl>
    <w:p>
      <w:pPr>
        <w:pStyle w:val="TextBody"/>
        <w:bidi w:val="0"/>
        <w:spacing w:before="240" w:after="283"/>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62560"/>
                <wp:effectExtent l="0" t="0" r="0" b="0"/>
                <wp:wrapNone/>
                <wp:docPr id="227" name="Frame2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hyperlink" Target="https://www.sec.gov/Archives/edgar/data/1778922/000162828026006460/exhibit31-closing8xk.htm" TargetMode="External"/><Relationship Id="rId18" Type="http://schemas.openxmlformats.org/officeDocument/2006/relationships/hyperlink" Target="https://www.sec.gov/Archives/edgar/data/1778922/000162828026006460/exhibit31-closing8xk.htm" TargetMode="External"/><Relationship Id="rId19" Type="http://schemas.openxmlformats.org/officeDocument/2006/relationships/hyperlink" Target="https://www.sec.gov/Archives/edgar/data/1778922/000162828026006460/exhibit31-closing8xk.htm" TargetMode="External"/><Relationship Id="rId20" Type="http://schemas.openxmlformats.org/officeDocument/2006/relationships/hyperlink" Target="https://www.sec.gov/Archives/edgar/data/1778922/000162828026006460/exhibit31-closing8xk.htm" TargetMode="External"/><Relationship Id="rId21" Type="http://schemas.openxmlformats.org/officeDocument/2006/relationships/hyperlink" Target="https://www.sec.gov/Archives/edgar/data/1778922/000162828026006460/exhibit32-closing8xk.htm" TargetMode="External"/><Relationship Id="rId22" Type="http://schemas.openxmlformats.org/officeDocument/2006/relationships/hyperlink" Target="https://www.sec.gov/Archives/edgar/data/1778922/000162828026006460/exhibit32-closing8xk.htm" TargetMode="External"/><Relationship Id="rId23" Type="http://schemas.openxmlformats.org/officeDocument/2006/relationships/hyperlink" Target="https://www.sec.gov/Archives/edgar/data/1778922/000162828026006460/exhibit32-closing8xk.htm" TargetMode="External"/><Relationship Id="rId24" Type="http://schemas.openxmlformats.org/officeDocument/2006/relationships/hyperlink" Target="https://www.sec.gov/Archives/edgar/data/1778922/000162828026006460/exhibit32-closing8xk.htm" TargetMode="External"/><Relationship Id="rId25" Type="http://schemas.openxmlformats.org/officeDocument/2006/relationships/hyperlink" Target="https://www.sec.gov/Archives/edgar/data/1778922/000162828026006460/exhibit32-closing8xk.htm" TargetMode="External"/><Relationship Id="rId26" Type="http://schemas.openxmlformats.org/officeDocument/2006/relationships/hyperlink" Target="https://www.sec.gov/Archives/edgar/data/1778922/000162828026004091/exhibit41-sx1a.htm" TargetMode="External"/><Relationship Id="rId27" Type="http://schemas.openxmlformats.org/officeDocument/2006/relationships/hyperlink" Target="https://www.sec.gov/Archives/edgar/data/1778922/000162828026004091/exhibit41-sx1a.htm" TargetMode="External"/><Relationship Id="rId28" Type="http://schemas.openxmlformats.org/officeDocument/2006/relationships/hyperlink" Target="https://www.sec.gov/Archives/edgar/data/1778922/000162828026004091/exhibit41-sx1a.htm" TargetMode="External"/><Relationship Id="rId29" Type="http://schemas.openxmlformats.org/officeDocument/2006/relationships/hyperlink" Target="https://www.sec.gov/Archives/edgar/data/1778922/000162828026004091/exhibit41-sx1a.htm" TargetMode="External"/><Relationship Id="rId30" Type="http://schemas.openxmlformats.org/officeDocument/2006/relationships/hyperlink" Target="https://www.sec.gov/Archives/edgar/data/1778922/000162828026004091/exhibit41-sx1a.htm" TargetMode="External"/><Relationship Id="rId31" Type="http://schemas.openxmlformats.org/officeDocument/2006/relationships/hyperlink" Target="https://www.sec.gov/Archives/edgar/data/1778922/000162828026004091/exhibit41-sx1a.htm" TargetMode="External"/><Relationship Id="rId32" Type="http://schemas.openxmlformats.org/officeDocument/2006/relationships/hyperlink" Target="https://www.sec.gov/Archives/edgar/data/1778922/000162828026004091/exhibit41-sx1a.htm" TargetMode="External"/><Relationship Id="rId33" Type="http://schemas.openxmlformats.org/officeDocument/2006/relationships/hyperlink" Target="https://www.sec.gov/Archives/edgar/data/1778922/000162828026004091/exhibit41-sx1a.htm" TargetMode="External"/><Relationship Id="rId34" Type="http://schemas.openxmlformats.org/officeDocument/2006/relationships/hyperlink" Target="https://www.sec.gov/Archives/edgar/data/1778922/000162828026004091/exhibit41-sx1a.htm" TargetMode="External"/><Relationship Id="rId35" Type="http://schemas.openxmlformats.org/officeDocument/2006/relationships/hyperlink" Target="https://www.sec.gov/Archives/edgar/data/1778922/000162828026004091/exhibit41-sx1a.htm" TargetMode="External"/><Relationship Id="rId36" Type="http://schemas.openxmlformats.org/officeDocument/2006/relationships/hyperlink" Target="https://www.sec.gov/Archives/edgar/data/1778922/000162828026002356/exhibit42-sx1.htm" TargetMode="External"/><Relationship Id="rId37" Type="http://schemas.openxmlformats.org/officeDocument/2006/relationships/hyperlink" Target="https://www.sec.gov/Archives/edgar/data/1778922/000162828026002356/exhibit42-sx1.htm" TargetMode="External"/><Relationship Id="rId38" Type="http://schemas.openxmlformats.org/officeDocument/2006/relationships/hyperlink" Target="https://www.sec.gov/Archives/edgar/data/1778922/000162828026002356/exhibit42-sx1.htm" TargetMode="External"/><Relationship Id="rId39" Type="http://schemas.openxmlformats.org/officeDocument/2006/relationships/hyperlink" Target="https://www.sec.gov/Archives/edgar/data/1778922/000162828026002356/exhibit42-sx1.htm" TargetMode="External"/><Relationship Id="rId40" Type="http://schemas.openxmlformats.org/officeDocument/2006/relationships/hyperlink" Target="https://www.sec.gov/Archives/edgar/data/1778922/000162828026002356/exhibit42-sx1.htm" TargetMode="External"/><Relationship Id="rId41" Type="http://schemas.openxmlformats.org/officeDocument/2006/relationships/hyperlink" Target="https://www.sec.gov/Archives/edgar/data/1778922/000162828026002356/exhibit42-sx1.htm" TargetMode="External"/><Relationship Id="rId42" Type="http://schemas.openxmlformats.org/officeDocument/2006/relationships/hyperlink" Target="https://www.sec.gov/Archives/edgar/data/1778922/000162828026002356/exhibit42-sx1.htm" TargetMode="External"/><Relationship Id="rId43" Type="http://schemas.openxmlformats.org/officeDocument/2006/relationships/hyperlink" Target="https://www.sec.gov/Archives/edgar/data/1778922/000162828026002356/exhibit101-sx1.htm" TargetMode="External"/><Relationship Id="rId44" Type="http://schemas.openxmlformats.org/officeDocument/2006/relationships/hyperlink" Target="https://www.sec.gov/Archives/edgar/data/1778922/000162828026002356/exhibit101-sx1.htm" TargetMode="External"/><Relationship Id="rId45" Type="http://schemas.openxmlformats.org/officeDocument/2006/relationships/hyperlink" Target="https://www.sec.gov/Archives/edgar/data/1778922/000162828026002356/exhibit101-sx1.htm" TargetMode="External"/><Relationship Id="rId46" Type="http://schemas.openxmlformats.org/officeDocument/2006/relationships/hyperlink" Target="https://www.sec.gov/Archives/edgar/data/1778922/000162828026002356/exhibit101-sx1.htm" TargetMode="External"/><Relationship Id="rId47" Type="http://schemas.openxmlformats.org/officeDocument/2006/relationships/hyperlink" Target="https://www.sec.gov/Archives/edgar/data/1778922/000162828026002356/exhibit101-sx1.htm" TargetMode="External"/><Relationship Id="rId48" Type="http://schemas.openxmlformats.org/officeDocument/2006/relationships/hyperlink" Target="https://www.sec.gov/Archives/edgar/data/1778922/000162828026002356/exhibit101-sx1.htm" TargetMode="External"/><Relationship Id="rId49" Type="http://schemas.openxmlformats.org/officeDocument/2006/relationships/hyperlink" Target="https://www.sec.gov/Archives/edgar/data/1778922/000162828026004091/exhibit102-sx1a.htm" TargetMode="External"/><Relationship Id="rId50" Type="http://schemas.openxmlformats.org/officeDocument/2006/relationships/hyperlink" Target="https://www.sec.gov/Archives/edgar/data/1778922/000162828026004091/exhibit102-sx1a.htm" TargetMode="External"/><Relationship Id="rId51" Type="http://schemas.openxmlformats.org/officeDocument/2006/relationships/hyperlink" Target="https://www.sec.gov/Archives/edgar/data/1778922/000162828026004091/exhibit102-sx1a.htm" TargetMode="External"/><Relationship Id="rId52" Type="http://schemas.openxmlformats.org/officeDocument/2006/relationships/hyperlink" Target="https://www.sec.gov/Archives/edgar/data/1778922/000162828026004091/exhibit102-sx1a.htm" TargetMode="External"/><Relationship Id="rId53" Type="http://schemas.openxmlformats.org/officeDocument/2006/relationships/hyperlink" Target="https://www.sec.gov/Archives/edgar/data/1778922/000162828026004091/exhibit102-sx1a.htm" TargetMode="External"/><Relationship Id="rId54" Type="http://schemas.openxmlformats.org/officeDocument/2006/relationships/hyperlink" Target="https://www.sec.gov/Archives/edgar/data/1778922/000162828026004091/exhibit102-sx1a.htm" TargetMode="External"/><Relationship Id="rId55" Type="http://schemas.openxmlformats.org/officeDocument/2006/relationships/hyperlink" Target="https://www.sec.gov/Archives/edgar/data/1778922/000162828026004091/exhibit103-sx1a.htm" TargetMode="External"/><Relationship Id="rId56" Type="http://schemas.openxmlformats.org/officeDocument/2006/relationships/hyperlink" Target="https://www.sec.gov/Archives/edgar/data/1778922/000162828026004091/exhibit103-sx1a.htm" TargetMode="External"/><Relationship Id="rId57" Type="http://schemas.openxmlformats.org/officeDocument/2006/relationships/hyperlink" Target="https://www.sec.gov/Archives/edgar/data/1778922/000162828026004091/exhibit103-sx1a.htm" TargetMode="External"/><Relationship Id="rId58" Type="http://schemas.openxmlformats.org/officeDocument/2006/relationships/hyperlink" Target="https://www.sec.gov/Archives/edgar/data/1778922/000162828026004091/exhibit103-sx1a.htm" TargetMode="External"/><Relationship Id="rId59" Type="http://schemas.openxmlformats.org/officeDocument/2006/relationships/hyperlink" Target="https://www.sec.gov/Archives/edgar/data/1778922/000162828026002356/exhibit104-sx1.htm" TargetMode="External"/><Relationship Id="rId60" Type="http://schemas.openxmlformats.org/officeDocument/2006/relationships/hyperlink" Target="https://www.sec.gov/Archives/edgar/data/1778922/000162828026002356/exhibit104-sx1.htm" TargetMode="External"/><Relationship Id="rId61" Type="http://schemas.openxmlformats.org/officeDocument/2006/relationships/hyperlink" Target="https://www.sec.gov/Archives/edgar/data/1778922/000162828026002356/exhibit104-sx1.htm" TargetMode="External"/><Relationship Id="rId62" Type="http://schemas.openxmlformats.org/officeDocument/2006/relationships/hyperlink" Target="https://www.sec.gov/Archives/edgar/data/1778922/000162828026002356/exhibit104-sx1.htm" TargetMode="External"/><Relationship Id="rId63" Type="http://schemas.openxmlformats.org/officeDocument/2006/relationships/hyperlink" Target="https://www.sec.gov/Archives/edgar/data/1778922/000162828026002356/exhibit104-sx1.htm" TargetMode="External"/><Relationship Id="rId64" Type="http://schemas.openxmlformats.org/officeDocument/2006/relationships/hyperlink" Target="https://www.sec.gov/Archives/edgar/data/1778922/000162828026002356/exhibit104-sx1.htm" TargetMode="External"/><Relationship Id="rId65" Type="http://schemas.openxmlformats.org/officeDocument/2006/relationships/hyperlink" Target="https://www.sec.gov/Archives/edgar/data/1778922/000162828026004091/exhibit105-sx1a.htm" TargetMode="External"/><Relationship Id="rId66" Type="http://schemas.openxmlformats.org/officeDocument/2006/relationships/hyperlink" Target="https://www.sec.gov/Archives/edgar/data/1778922/000162828026004091/exhibit105-sx1a.htm" TargetMode="External"/><Relationship Id="rId67" Type="http://schemas.openxmlformats.org/officeDocument/2006/relationships/hyperlink" Target="https://www.sec.gov/Archives/edgar/data/1778922/000162828026004091/exhibit105-sx1a.htm" TargetMode="External"/><Relationship Id="rId68" Type="http://schemas.openxmlformats.org/officeDocument/2006/relationships/hyperlink" Target="https://www.sec.gov/Archives/edgar/data/1778922/000162828026004091/exhibit105-sx1a.htm" TargetMode="External"/><Relationship Id="rId69" Type="http://schemas.openxmlformats.org/officeDocument/2006/relationships/hyperlink" Target="https://www.sec.gov/Archives/edgar/data/1778922/000162828026004091/exhibit105-sx1a.htm" TargetMode="External"/><Relationship Id="rId70" Type="http://schemas.openxmlformats.org/officeDocument/2006/relationships/hyperlink" Target="https://www.sec.gov/Archives/edgar/data/1778922/000162828026004091/exhibit106-sx1a.htm" TargetMode="External"/><Relationship Id="rId71" Type="http://schemas.openxmlformats.org/officeDocument/2006/relationships/hyperlink" Target="https://www.sec.gov/Archives/edgar/data/1778922/000162828026004091/exhibit106-sx1a.htm" TargetMode="External"/><Relationship Id="rId72" Type="http://schemas.openxmlformats.org/officeDocument/2006/relationships/hyperlink" Target="https://www.sec.gov/Archives/edgar/data/1778922/000162828026004091/exhibit106-sx1a.htm" TargetMode="External"/><Relationship Id="rId73" Type="http://schemas.openxmlformats.org/officeDocument/2006/relationships/hyperlink" Target="https://www.sec.gov/Archives/edgar/data/1778922/000162828026004091/exhibit106-sx1a.htm" TargetMode="External"/><Relationship Id="rId74" Type="http://schemas.openxmlformats.org/officeDocument/2006/relationships/hyperlink" Target="https://www.sec.gov/Archives/edgar/data/1778922/000162828026004091/exhibit106-sx1a.htm" TargetMode="External"/><Relationship Id="rId75" Type="http://schemas.openxmlformats.org/officeDocument/2006/relationships/hyperlink" Target="https://www.sec.gov/Archives/edgar/data/1778922/000162828026004091/exhibit107-sx1a.htm" TargetMode="External"/><Relationship Id="rId76" Type="http://schemas.openxmlformats.org/officeDocument/2006/relationships/hyperlink" Target="https://www.sec.gov/Archives/edgar/data/1778922/000162828026004091/exhibit107-sx1a.htm" TargetMode="External"/><Relationship Id="rId77" Type="http://schemas.openxmlformats.org/officeDocument/2006/relationships/hyperlink" Target="https://www.sec.gov/Archives/edgar/data/1778922/000162828026004091/exhibit107-sx1a.htm" TargetMode="External"/><Relationship Id="rId78" Type="http://schemas.openxmlformats.org/officeDocument/2006/relationships/hyperlink" Target="https://www.sec.gov/Archives/edgar/data/1778922/000162828026004091/exhibit107-sx1a.htm" TargetMode="External"/><Relationship Id="rId79" Type="http://schemas.openxmlformats.org/officeDocument/2006/relationships/hyperlink" Target="https://www.sec.gov/Archives/edgar/data/1778922/000162828026004091/exhibit107-sx1a.htm" TargetMode="External"/><Relationship Id="rId80" Type="http://schemas.openxmlformats.org/officeDocument/2006/relationships/hyperlink" Target="https://www.sec.gov/Archives/edgar/data/1778922/000162828026004091/exhibit108-sx1a.htm" TargetMode="External"/><Relationship Id="rId81" Type="http://schemas.openxmlformats.org/officeDocument/2006/relationships/hyperlink" Target="https://www.sec.gov/Archives/edgar/data/1778922/000162828026004091/exhibit108-sx1a.htm" TargetMode="External"/><Relationship Id="rId82" Type="http://schemas.openxmlformats.org/officeDocument/2006/relationships/hyperlink" Target="https://www.sec.gov/Archives/edgar/data/1778922/000162828026004091/exhibit108-sx1a.htm" TargetMode="External"/><Relationship Id="rId83" Type="http://schemas.openxmlformats.org/officeDocument/2006/relationships/hyperlink" Target="https://www.sec.gov/Archives/edgar/data/1778922/000162828026004091/exhibit108-sx1a.htm" TargetMode="External"/><Relationship Id="rId84" Type="http://schemas.openxmlformats.org/officeDocument/2006/relationships/hyperlink" Target="https://www.sec.gov/Archives/edgar/data/1778922/000162828026004091/exhibit108-sx1a.htm" TargetMode="External"/><Relationship Id="rId85" Type="http://schemas.openxmlformats.org/officeDocument/2006/relationships/hyperlink" Target="https://www.sec.gov/Archives/edgar/data/1778922/000162828026004091/exhibit109-sx1a.htm" TargetMode="External"/><Relationship Id="rId86" Type="http://schemas.openxmlformats.org/officeDocument/2006/relationships/hyperlink" Target="https://www.sec.gov/Archives/edgar/data/1778922/000162828026004091/exhibit109-sx1a.htm" TargetMode="External"/><Relationship Id="rId87" Type="http://schemas.openxmlformats.org/officeDocument/2006/relationships/hyperlink" Target="https://www.sec.gov/Archives/edgar/data/1778922/000162828026004091/exhibit109-sx1a.htm" TargetMode="External"/><Relationship Id="rId88" Type="http://schemas.openxmlformats.org/officeDocument/2006/relationships/hyperlink" Target="https://www.sec.gov/Archives/edgar/data/1778922/000162828026004091/exhibit109-sx1a.htm" TargetMode="External"/><Relationship Id="rId89" Type="http://schemas.openxmlformats.org/officeDocument/2006/relationships/hyperlink" Target="https://www.sec.gov/Archives/edgar/data/1778922/000162828026004091/exhibit109-sx1a.htm" TargetMode="External"/><Relationship Id="rId90" Type="http://schemas.openxmlformats.org/officeDocument/2006/relationships/hyperlink" Target="https://www.sec.gov/Archives/edgar/data/1778922/000162828026004091/exhibit1010-sx1a.htm" TargetMode="External"/><Relationship Id="rId91" Type="http://schemas.openxmlformats.org/officeDocument/2006/relationships/hyperlink" Target="https://www.sec.gov/Archives/edgar/data/1778922/000162828026004091/exhibit1010-sx1a.htm" TargetMode="External"/><Relationship Id="rId92" Type="http://schemas.openxmlformats.org/officeDocument/2006/relationships/hyperlink" Target="https://www.sec.gov/Archives/edgar/data/1778922/000162828026004091/exhibit1010-sx1a.htm" TargetMode="External"/><Relationship Id="rId93" Type="http://schemas.openxmlformats.org/officeDocument/2006/relationships/hyperlink" Target="https://www.sec.gov/Archives/edgar/data/1778922/000162828026004091/exhibit1010-sx1a.htm" TargetMode="External"/><Relationship Id="rId94" Type="http://schemas.openxmlformats.org/officeDocument/2006/relationships/hyperlink" Target="https://www.sec.gov/Archives/edgar/data/1778922/000162828026004091/exhibit1010-sx1a.htm" TargetMode="External"/><Relationship Id="rId95" Type="http://schemas.openxmlformats.org/officeDocument/2006/relationships/hyperlink" Target="https://www.sec.gov/Archives/edgar/data/1778922/000162828026002356/exhibit1011-sx1.htm" TargetMode="External"/><Relationship Id="rId96" Type="http://schemas.openxmlformats.org/officeDocument/2006/relationships/hyperlink" Target="https://www.sec.gov/Archives/edgar/data/1778922/000162828026002356/exhibit1011-sx1.htm" TargetMode="External"/><Relationship Id="rId97" Type="http://schemas.openxmlformats.org/officeDocument/2006/relationships/hyperlink" Target="https://www.sec.gov/Archives/edgar/data/1778922/000162828026002356/exhibit1011-sx1.htm" TargetMode="External"/><Relationship Id="rId98" Type="http://schemas.openxmlformats.org/officeDocument/2006/relationships/hyperlink" Target="https://www.sec.gov/Archives/edgar/data/1778922/000162828026002356/exhibit1011-sx1.htm" TargetMode="External"/><Relationship Id="rId99" Type="http://schemas.openxmlformats.org/officeDocument/2006/relationships/hyperlink" Target="https://www.sec.gov/Archives/edgar/data/1778922/000162828026002356/exhibit1011-sx1.htm" TargetMode="External"/><Relationship Id="rId100" Type="http://schemas.openxmlformats.org/officeDocument/2006/relationships/hyperlink" Target="https://www.sec.gov/Archives/edgar/data/1778922/000162828026002356/exhibit1011-sx1.htm" TargetMode="External"/><Relationship Id="rId101" Type="http://schemas.openxmlformats.org/officeDocument/2006/relationships/hyperlink" Target="https://www.sec.gov/Archives/edgar/data/1778922/000162828026002356/exhibit1011-sx1.htm" TargetMode="External"/><Relationship Id="rId102" Type="http://schemas.openxmlformats.org/officeDocument/2006/relationships/hyperlink" Target="https://www.sec.gov/Archives/edgar/data/1778922/000162828026002356/exhibit1011-sx1.htm" TargetMode="External"/><Relationship Id="rId103" Type="http://schemas.openxmlformats.org/officeDocument/2006/relationships/hyperlink" Target="https://www.sec.gov/Archives/edgar/data/1778922/000162828026004091/exhibit1012-sx1a.htm" TargetMode="External"/><Relationship Id="rId104" Type="http://schemas.openxmlformats.org/officeDocument/2006/relationships/hyperlink" Target="https://www.sec.gov/Archives/edgar/data/1778922/000162828026004091/exhibit1012-sx1a.htm" TargetMode="External"/><Relationship Id="rId105" Type="http://schemas.openxmlformats.org/officeDocument/2006/relationships/hyperlink" Target="https://www.sec.gov/Archives/edgar/data/1778922/000162828026004091/exhibit1012-sx1a.htm" TargetMode="External"/><Relationship Id="rId106" Type="http://schemas.openxmlformats.org/officeDocument/2006/relationships/hyperlink" Target="https://www.sec.gov/Archives/edgar/data/1778922/000162828026004091/exhibit1012-sx1a.htm" TargetMode="External"/><Relationship Id="rId107" Type="http://schemas.openxmlformats.org/officeDocument/2006/relationships/hyperlink" Target="https://www.sec.gov/Archives/edgar/data/1778922/000162828026004091/exhibit1012-sx1a.htm" TargetMode="External"/><Relationship Id="rId108" Type="http://schemas.openxmlformats.org/officeDocument/2006/relationships/hyperlink" Target="https://www.sec.gov/Archives/edgar/data/1778922/000162828026004091/exhibit1012-sx1a.htm" TargetMode="External"/><Relationship Id="rId109" Type="http://schemas.openxmlformats.org/officeDocument/2006/relationships/hyperlink" Target="https://www.sec.gov/Archives/edgar/data/1778922/000162828026002356/exhibit1016-sx1.htm" TargetMode="External"/><Relationship Id="rId110" Type="http://schemas.openxmlformats.org/officeDocument/2006/relationships/hyperlink" Target="https://www.sec.gov/Archives/edgar/data/1778922/000162828026002356/exhibit1016-sx1.htm" TargetMode="External"/><Relationship Id="rId111" Type="http://schemas.openxmlformats.org/officeDocument/2006/relationships/hyperlink" Target="https://www.sec.gov/Archives/edgar/data/1778922/000162828026002356/exhibit1016-sx1.htm" TargetMode="External"/><Relationship Id="rId112" Type="http://schemas.openxmlformats.org/officeDocument/2006/relationships/hyperlink" Target="https://www.sec.gov/Archives/edgar/data/1778922/000162828026002356/exhibit1016-sx1.htm" TargetMode="External"/><Relationship Id="rId113" Type="http://schemas.openxmlformats.org/officeDocument/2006/relationships/hyperlink" Target="https://www.sec.gov/Archives/edgar/data/1778922/000162828026002356/exhibit1016-sx1.htm" TargetMode="External"/><Relationship Id="rId114" Type="http://schemas.openxmlformats.org/officeDocument/2006/relationships/hyperlink" Target="https://www.sec.gov/Archives/edgar/data/1778922/000162828026004091/exhibit211-sx1a.htm" TargetMode="External"/><Relationship Id="rId115" Type="http://schemas.openxmlformats.org/officeDocument/2006/relationships/hyperlink" Target="https://www.sec.gov/Archives/edgar/data/1778922/000162828026004091/exhibit211-sx1a.htm" TargetMode="External"/><Relationship Id="rId116" Type="http://schemas.openxmlformats.org/officeDocument/2006/relationships/hyperlink" Target="https://www.sec.gov/Archives/edgar/data/1778922/000162828026004091/exhibit211-sx1a.htm" TargetMode="External"/><Relationship Id="rId117" Type="http://schemas.openxmlformats.org/officeDocument/2006/relationships/hyperlink" Target="https://www.sec.gov/Archives/edgar/data/1778922/000162828026004091/exhibit211-sx1a.htm" TargetMode="External"/><Relationship Id="rId118" Type="http://schemas.openxmlformats.org/officeDocument/2006/relationships/hyperlink" Target="https://www.sec.gov/Archives/edgar/data/1778922/000162828026004091/exhibit211-sx1a.htm" TargetMode="External"/><Relationship Id="rId119" Type="http://schemas.openxmlformats.org/officeDocument/2006/relationships/hyperlink" Target="https://www.sec.gov/Archives/edgar/data/1778922/000162828026004091/exhibit211-sx1a.htm" TargetMode="External"/><Relationship Id="rId120" Type="http://schemas.openxmlformats.org/officeDocument/2006/relationships/hyperlink" Target="https://www.sec.gov/Archives/edgar/data/1778922/000162828026004091/exhibit211-sx1a.htm" TargetMode="External"/><Relationship Id="rId121" Type="http://schemas.openxmlformats.org/officeDocument/2006/relationships/hyperlink" Target="https://www.sec.gov/Archives/edgar/data/1778922/000162828026004091/exhibit211-sx1a.htm" TargetMode="External"/><Relationship Id="rId122" Type="http://schemas.openxmlformats.org/officeDocument/2006/relationships/fontTable" Target="fontTable.xml"/><Relationship Id="rId1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139666</Words>
  <Characters>772634</Characters>
  <CharactersWithSpaces>908982</CharactersWithSpaces>
  <Paragraphs>4621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