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Washington, D.C. 20549</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10-Q</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120"/>
        <w:jc w:val="left"/>
        <w:rPr>
          <w:rFonts w:ascii="Trade Gothic;sans-serif" w:hAnsi="Trade Gothic;sans-serif"/>
          <w:b/>
          <w:color w:val="000000"/>
          <w:sz w:val="19"/>
        </w:rPr>
      </w:pPr>
      <w:r>
        <w:rPr>
          <w:rFonts w:ascii="Trade Gothic;sans-serif" w:hAnsi="Trade Gothic;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9"/>
              </w:rPr>
            </w:pPr>
            <w:r>
              <w:rPr>
                <w:rFonts w:ascii="Trade Gothic;sans-serif" w:hAnsi="Trade Gothic;sans-serif"/>
                <w:b/>
                <w:color w:val="000000"/>
                <w:sz w:val="19"/>
              </w:rPr>
              <w:t xml:space="preserve">QUARTERLY REPORT PURSUANT TO SECTION 13 OR 15(d) OF THE SECURITIES EXCHANGE ACT OF 1934 </w:t>
            </w:r>
          </w:p>
        </w:tc>
      </w:tr>
    </w:tbl>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For the quarterly period ended March 31, 2026</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For the transition period from    to    </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Commission file number 001-43105</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SpyGlass Pharma, Inc.</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(Exact name of registrant as specified in its charter)</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tbl>
      <w:tblPr>
        <w:tblW w:w="5849" w:type="dxa"/>
        <w:jc w:val="left"/>
        <w:tblInd w:w="0" w:type="dxa"/>
        <w:tblLayout w:type="fixed"/>
        <w:tblCellMar>
          <w:top w:w="28" w:type="dxa"/>
          <w:left w:w="28" w:type="dxa"/>
          <w:bottom w:w="28" w:type="dxa"/>
          <w:right w:w="28" w:type="dxa"/>
        </w:tblCellMar>
      </w:tblPr>
      <w:tblGrid>
        <w:gridCol w:w="1434"/>
        <w:gridCol w:w="1259"/>
        <w:gridCol w:w="1266"/>
        <w:gridCol w:w="554"/>
        <w:gridCol w:w="554"/>
        <w:gridCol w:w="78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(State or other jurisdiction of </w:t>
              <w:br/>
              <w:t>incorporation or organization)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(I.R.S. Employer </w:t>
              <w:br/>
              <w:t>Identification No.)</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Aliso Viejo, California</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92656</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(Address of Principal Executive Offices)</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(Zip Code)</w:t>
            </w:r>
          </w:p>
        </w:tc>
      </w:tr>
    </w:tbl>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Registrant’s telephone number, including area code</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16"/>
        <w:gridCol w:w="1194"/>
        <w:gridCol w:w="1199"/>
        <w:gridCol w:w="640"/>
        <w:gridCol w:w="640"/>
        <w:gridCol w:w="642"/>
        <w:gridCol w:w="1306"/>
        <w:gridCol w:w="1306"/>
        <w:gridCol w:w="1862"/>
      </w:tblGrid>
      <w:tr>
        <w:trPr/>
        <w:tc>
          <w:tcPr>
            <w:tcW w:w="14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19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4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Name of each exchange on which registered</w:t>
            </w:r>
          </w:p>
        </w:tc>
      </w:tr>
      <w:tr>
        <w:trPr/>
        <w:tc>
          <w:tcPr>
            <w:tcW w:w="38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Common Stock, par value $0.00001 per share</w:t>
            </w:r>
          </w:p>
        </w:tc>
        <w:tc>
          <w:tcPr>
            <w:tcW w:w="19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SGP</w:t>
            </w:r>
          </w:p>
        </w:tc>
        <w:tc>
          <w:tcPr>
            <w:tcW w:w="4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The Nasdaq Stock Market LLC</w:t>
            </w:r>
          </w:p>
        </w:tc>
      </w:tr>
    </w:tbl>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160"/>
        <w:jc w:val="left"/>
        <w:rPr/>
      </w:pPr>
      <w:r>
        <w:rPr>
          <w:rFonts w:ascii="Trade Gothic;sans-serif" w:hAnsi="Trade Gothic;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The number of shares of the registrant’s common stock, par value $0.00001 per share, outstanding as of April 20, 2026 was 33,433,355.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0335"/>
                <wp:effectExtent l="0" t="0" r="0" b="0"/>
                <wp:wrapNone/>
                <wp:docPr id="1" name="Frame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3"/>
        <w:gridCol w:w="275"/>
        <w:gridCol w:w="277"/>
        <w:gridCol w:w="2897"/>
        <w:gridCol w:w="2863"/>
        <w:gridCol w:w="2870"/>
        <w:gridCol w:w="206"/>
        <w:gridCol w:w="206"/>
        <w:gridCol w:w="298"/>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20"/>
              </w:rPr>
            </w:pPr>
            <w:r>
              <w:rPr>
                <w:rFonts w:ascii="Trade Gothic;sans-serif" w:hAnsi="Trade Gothic;sans-serif"/>
                <w:b/>
                <w:color w:val="000000"/>
                <w:sz w:val="20"/>
              </w:rPr>
              <w:t>Page</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eb84bac78fd4053b6dbf77091167dbb_142">
              <w:r>
                <w:rPr>
                  <w:rStyle w:val="InternetLink"/>
                  <w:rFonts w:ascii="Trade Gothic;sans-serif" w:hAnsi="Trade Gothic;sans-serif"/>
                  <w:b/>
                  <w:color w:val="000080"/>
                  <w:sz w:val="20"/>
                  <w:u w:val="single"/>
                </w:rPr>
                <w:t>F</w:t>
              </w:r>
            </w:hyperlink>
            <w:hyperlink w:anchor="i7eb84bac78fd4053b6dbf77091167dbb_142">
              <w:r>
                <w:rPr>
                  <w:rStyle w:val="InternetLink"/>
                  <w:rFonts w:ascii="Trade Gothic;sans-serif" w:hAnsi="Trade Gothic;sans-serif"/>
                  <w:b/>
                  <w:color w:val="000080"/>
                  <w:sz w:val="20"/>
                  <w:u w:val="single"/>
                </w:rPr>
                <w:t>INANCIAL INFORMATION</w:t>
              </w:r>
            </w:hyperlink>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eb84bac78fd4053b6dbf77091167dbb_142">
              <w:r>
                <w:rPr>
                  <w:rStyle w:val="InternetLink"/>
                  <w:rFonts w:ascii="Trade Gothic;sans-serif" w:hAnsi="Trade Gothic;sans-serif"/>
                  <w:b w:val="false"/>
                  <w:strike w:val="false"/>
                  <w:dstrike w:val="false"/>
                  <w:color w:val="000000"/>
                  <w:sz w:val="20"/>
                  <w:u w:val="none"/>
                  <w:effect w:val="none"/>
                </w:rPr>
                <w:t>6</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eb84bac78fd4053b6dbf77091167dbb_143">
              <w:r>
                <w:rPr>
                  <w:rStyle w:val="InternetLink"/>
                  <w:rFonts w:ascii="Trade Gothic;sans-serif" w:hAnsi="Trade Gothic;sans-serif"/>
                  <w:b/>
                  <w:color w:val="3051F2"/>
                  <w:sz w:val="20"/>
                  <w:u w:val="single"/>
                </w:rPr>
                <w:t>Financial Statements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b84bac78fd4053b6dbf77091167dbb_143">
              <w:r>
                <w:rPr>
                  <w:rStyle w:val="InternetLink"/>
                  <w:rFonts w:ascii="Trade Gothic;sans-serif" w:hAnsi="Trade Gothic;sans-serif"/>
                  <w:b w:val="false"/>
                  <w:strike w:val="false"/>
                  <w:dstrike w:val="false"/>
                  <w:color w:val="000000"/>
                  <w:sz w:val="20"/>
                  <w:u w:val="none"/>
                  <w:effect w:val="none"/>
                </w:rPr>
                <w:t>6</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ed870bfc65400781eb9f254f1d97a5_224">
              <w:r>
                <w:rPr>
                  <w:rStyle w:val="InternetLink"/>
                  <w:rFonts w:ascii="Trade Gothic;sans-serif" w:hAnsi="Trade Gothic;sans-serif"/>
                  <w:b/>
                  <w:color w:val="000080"/>
                  <w:sz w:val="20"/>
                  <w:u w:val="single"/>
                </w:rPr>
                <w:t>C</w:t>
              </w:r>
            </w:hyperlink>
            <w:hyperlink w:anchor="i3bed870bfc65400781eb9f254f1d97a5_224">
              <w:r>
                <w:rPr>
                  <w:rStyle w:val="InternetLink"/>
                  <w:rFonts w:ascii="Trade Gothic;sans-serif" w:hAnsi="Trade Gothic;sans-serif"/>
                  <w:b/>
                  <w:color w:val="000080"/>
                  <w:sz w:val="20"/>
                  <w:u w:val="single"/>
                </w:rPr>
                <w:t>on</w:t>
              </w:r>
            </w:hyperlink>
            <w:hyperlink w:anchor="i3bed870bfc65400781eb9f254f1d97a5_224">
              <w:r>
                <w:rPr>
                  <w:rStyle w:val="InternetLink"/>
                  <w:rFonts w:ascii="Trade Gothic;sans-serif" w:hAnsi="Trade Gothic;sans-serif"/>
                  <w:b/>
                  <w:color w:val="000080"/>
                  <w:sz w:val="20"/>
                  <w:u w:val="single"/>
                </w:rPr>
                <w:t>densed Balance Sheets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ed870bfc65400781eb9f254f1d97a5_224">
              <w:r>
                <w:rPr>
                  <w:rStyle w:val="InternetLink"/>
                  <w:rFonts w:ascii="Trade Gothic;sans-serif" w:hAnsi="Trade Gothic;sans-serif"/>
                  <w:b w:val="false"/>
                  <w:strike w:val="false"/>
                  <w:dstrike w:val="false"/>
                  <w:color w:val="000000"/>
                  <w:sz w:val="20"/>
                  <w:u w:val="none"/>
                  <w:effect w:val="none"/>
                </w:rPr>
                <w:t>6</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c1419a34c5406e8f0c858bf3617e58_405">
              <w:r>
                <w:rPr>
                  <w:rStyle w:val="InternetLink"/>
                  <w:rFonts w:ascii="Trade Gothic;sans-serif" w:hAnsi="Trade Gothic;sans-serif"/>
                  <w:b/>
                  <w:color w:val="000080"/>
                  <w:sz w:val="20"/>
                  <w:u w:val="single"/>
                </w:rPr>
                <w:t>C</w:t>
              </w:r>
            </w:hyperlink>
            <w:hyperlink w:anchor="icec1419a34c5406e8f0c858bf3617e58_405">
              <w:r>
                <w:rPr>
                  <w:rStyle w:val="InternetLink"/>
                  <w:rFonts w:ascii="Trade Gothic;sans-serif" w:hAnsi="Trade Gothic;sans-serif"/>
                  <w:b/>
                  <w:color w:val="000080"/>
                  <w:sz w:val="20"/>
                  <w:u w:val="single"/>
                </w:rPr>
                <w:t>onde</w:t>
              </w:r>
            </w:hyperlink>
            <w:hyperlink w:anchor="icec1419a34c5406e8f0c858bf3617e58_405">
              <w:r>
                <w:rPr>
                  <w:rStyle w:val="InternetLink"/>
                  <w:rFonts w:ascii="Trade Gothic;sans-serif" w:hAnsi="Trade Gothic;sans-serif"/>
                  <w:b/>
                  <w:color w:val="000080"/>
                  <w:sz w:val="20"/>
                  <w:u w:val="single"/>
                </w:rPr>
                <w:t>nsed Statem</w:t>
              </w:r>
            </w:hyperlink>
            <w:hyperlink w:anchor="icec1419a34c5406e8f0c858bf3617e58_405">
              <w:r>
                <w:rPr>
                  <w:rStyle w:val="InternetLink"/>
                  <w:rFonts w:ascii="Trade Gothic;sans-serif" w:hAnsi="Trade Gothic;sans-serif"/>
                  <w:b/>
                  <w:color w:val="000080"/>
                  <w:sz w:val="20"/>
                  <w:u w:val="single"/>
                </w:rPr>
                <w:t>ents of Op</w:t>
              </w:r>
            </w:hyperlink>
            <w:hyperlink w:anchor="icec1419a34c5406e8f0c858bf3617e58_405">
              <w:r>
                <w:rPr>
                  <w:rStyle w:val="InternetLink"/>
                  <w:rFonts w:ascii="Trade Gothic;sans-serif" w:hAnsi="Trade Gothic;sans-serif"/>
                  <w:b/>
                  <w:color w:val="000080"/>
                  <w:sz w:val="20"/>
                  <w:u w:val="single"/>
                </w:rPr>
                <w:t>erations and Comprehensive Loss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c1419a34c5406e8f0c858bf3617e58_405">
              <w:r>
                <w:rPr>
                  <w:rStyle w:val="InternetLink"/>
                  <w:rFonts w:ascii="Trade Gothic;sans-serif" w:hAnsi="Trade Gothic;sans-serif"/>
                  <w:b w:val="false"/>
                  <w:strike w:val="false"/>
                  <w:dstrike w:val="false"/>
                  <w:color w:val="000000"/>
                  <w:sz w:val="20"/>
                  <w:u w:val="none"/>
                  <w:effect w:val="none"/>
                </w:rPr>
                <w:t>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920421f7c54f6888850ee91f124f8e_543">
              <w:r>
                <w:rPr>
                  <w:rStyle w:val="InternetLink"/>
                  <w:rFonts w:ascii="Trade Gothic;sans-serif" w:hAnsi="Trade Gothic;sans-serif"/>
                  <w:b/>
                  <w:color w:val="000080"/>
                  <w:sz w:val="20"/>
                  <w:u w:val="single"/>
                </w:rPr>
                <w:t>C</w:t>
              </w:r>
            </w:hyperlink>
            <w:hyperlink w:anchor="if9920421f7c54f6888850ee91f124f8e_543">
              <w:r>
                <w:rPr>
                  <w:rStyle w:val="InternetLink"/>
                  <w:rFonts w:ascii="Trade Gothic;sans-serif" w:hAnsi="Trade Gothic;sans-serif"/>
                  <w:b/>
                  <w:color w:val="000080"/>
                  <w:sz w:val="20"/>
                  <w:u w:val="single"/>
                </w:rPr>
                <w:t>onde</w:t>
              </w:r>
            </w:hyperlink>
            <w:hyperlink w:anchor="if9920421f7c54f6888850ee91f124f8e_543">
              <w:r>
                <w:rPr>
                  <w:rStyle w:val="InternetLink"/>
                  <w:rFonts w:ascii="Trade Gothic;sans-serif" w:hAnsi="Trade Gothic;sans-serif"/>
                  <w:b/>
                  <w:color w:val="000080"/>
                  <w:sz w:val="20"/>
                  <w:u w:val="single"/>
                </w:rPr>
                <w:t>nsed Statements of Redeemable Convertible Preferred Stock and Stockholders</w:t>
              </w:r>
            </w:hyperlink>
            <w:hyperlink w:anchor="if9920421f7c54f6888850ee91f124f8e_543">
              <w:r>
                <w:rPr>
                  <w:rStyle w:val="InternetLink"/>
                  <w:rFonts w:ascii="Trade Gothic;sans-serif" w:hAnsi="Trade Gothic;sans-serif"/>
                  <w:b/>
                  <w:color w:val="000080"/>
                  <w:sz w:val="20"/>
                  <w:u w:val="single"/>
                </w:rPr>
                <w:t>’</w:t>
              </w:r>
            </w:hyperlink>
            <w:hyperlink w:anchor="if9920421f7c54f6888850ee91f124f8e_543">
              <w:r>
                <w:rPr>
                  <w:rStyle w:val="InternetLink"/>
                  <w:rFonts w:ascii="Trade Gothic;sans-serif" w:hAnsi="Trade Gothic;sans-serif"/>
                  <w:b/>
                  <w:color w:val="000080"/>
                  <w:sz w:val="20"/>
                  <w:u w:val="single"/>
                </w:rPr>
                <w:t xml:space="preserve"> </w:t>
              </w:r>
            </w:hyperlink>
            <w:hyperlink w:anchor="if9920421f7c54f6888850ee91f124f8e_543">
              <w:r>
                <w:rPr>
                  <w:rStyle w:val="InternetLink"/>
                  <w:rFonts w:ascii="Trade Gothic;sans-serif" w:hAnsi="Trade Gothic;sans-serif"/>
                  <w:b/>
                  <w:color w:val="000080"/>
                  <w:sz w:val="20"/>
                  <w:u w:val="single"/>
                </w:rPr>
                <w:t>Equity (</w:t>
              </w:r>
            </w:hyperlink>
            <w:hyperlink w:anchor="if9920421f7c54f6888850ee91f124f8e_543">
              <w:r>
                <w:rPr>
                  <w:rStyle w:val="InternetLink"/>
                  <w:rFonts w:ascii="Trade Gothic;sans-serif" w:hAnsi="Trade Gothic;sans-serif"/>
                  <w:b/>
                  <w:color w:val="000080"/>
                  <w:sz w:val="20"/>
                  <w:u w:val="single"/>
                </w:rPr>
                <w:t>Deficit</w:t>
              </w:r>
            </w:hyperlink>
            <w:r>
              <w:rPr>
                <w:rFonts w:ascii="Trade Gothic;sans-serif" w:hAnsi="Trade Gothic;sans-serif"/>
                <w:b/>
                <w:color w:val="3051F2"/>
                <w:sz w:val="20"/>
                <w:u w:val="single"/>
              </w:rPr>
              <w:t>)</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920421f7c54f6888850ee91f124f8e_543">
              <w:r>
                <w:rPr>
                  <w:rStyle w:val="InternetLink"/>
                  <w:rFonts w:ascii="Trade Gothic;sans-serif" w:hAnsi="Trade Gothic;sans-serif"/>
                  <w:b w:val="false"/>
                  <w:strike w:val="false"/>
                  <w:dstrike w:val="false"/>
                  <w:color w:val="000000"/>
                  <w:sz w:val="20"/>
                  <w:u w:val="none"/>
                  <w:effect w:val="none"/>
                </w:rPr>
                <w:t>8</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18f8eeba6e41e08eea3b35f77e028e_270">
              <w:r>
                <w:rPr>
                  <w:rStyle w:val="InternetLink"/>
                  <w:rFonts w:ascii="Trade Gothic;sans-serif" w:hAnsi="Trade Gothic;sans-serif"/>
                  <w:b/>
                  <w:color w:val="000080"/>
                  <w:sz w:val="20"/>
                  <w:u w:val="single"/>
                </w:rPr>
                <w:t>C</w:t>
              </w:r>
            </w:hyperlink>
            <w:hyperlink w:anchor="ie718f8eeba6e41e08eea3b35f77e028e_270">
              <w:r>
                <w:rPr>
                  <w:rStyle w:val="InternetLink"/>
                  <w:rFonts w:ascii="Trade Gothic;sans-serif" w:hAnsi="Trade Gothic;sans-serif"/>
                  <w:b/>
                  <w:color w:val="000080"/>
                  <w:sz w:val="20"/>
                  <w:u w:val="single"/>
                </w:rPr>
                <w:t>ondensed Statements of Cash F</w:t>
              </w:r>
            </w:hyperlink>
            <w:hyperlink w:anchor="ie718f8eeba6e41e08eea3b35f77e028e_270">
              <w:r>
                <w:rPr>
                  <w:rStyle w:val="InternetLink"/>
                  <w:rFonts w:ascii="Trade Gothic;sans-serif" w:hAnsi="Trade Gothic;sans-serif"/>
                  <w:b/>
                  <w:color w:val="000080"/>
                  <w:sz w:val="20"/>
                  <w:u w:val="single"/>
                </w:rPr>
                <w:t>lows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18f8eeba6e41e08eea3b35f77e028e_270">
              <w:r>
                <w:rPr>
                  <w:rStyle w:val="InternetLink"/>
                  <w:rFonts w:ascii="Trade Gothic;sans-serif" w:hAnsi="Trade Gothic;sans-serif"/>
                  <w:b w:val="false"/>
                  <w:strike w:val="false"/>
                  <w:dstrike w:val="false"/>
                  <w:color w:val="000000"/>
                  <w:sz w:val="20"/>
                  <w:u w:val="none"/>
                  <w:effect w:val="none"/>
                </w:rPr>
                <w:t>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8ee6f6522149b9bdb13c37060d945f_75">
              <w:r>
                <w:rPr>
                  <w:rStyle w:val="InternetLink"/>
                  <w:rFonts w:ascii="Trade Gothic;sans-serif" w:hAnsi="Trade Gothic;sans-serif"/>
                  <w:b/>
                  <w:color w:val="000080"/>
                  <w:sz w:val="20"/>
                  <w:u w:val="single"/>
                </w:rPr>
                <w:t>N</w:t>
              </w:r>
            </w:hyperlink>
            <w:hyperlink w:anchor="id48ee6f6522149b9bdb13c37060d945f_75">
              <w:r>
                <w:rPr>
                  <w:rStyle w:val="InternetLink"/>
                  <w:rFonts w:ascii="Trade Gothic;sans-serif" w:hAnsi="Trade Gothic;sans-serif"/>
                  <w:b/>
                  <w:color w:val="000080"/>
                  <w:sz w:val="20"/>
                  <w:u w:val="single"/>
                </w:rPr>
                <w:t>otes to Con</w:t>
              </w:r>
            </w:hyperlink>
            <w:hyperlink w:anchor="id48ee6f6522149b9bdb13c37060d945f_75">
              <w:r>
                <w:rPr>
                  <w:rStyle w:val="InternetLink"/>
                  <w:rFonts w:ascii="Trade Gothic;sans-serif" w:hAnsi="Trade Gothic;sans-serif"/>
                  <w:b/>
                  <w:color w:val="000080"/>
                  <w:sz w:val="20"/>
                  <w:u w:val="single"/>
                </w:rPr>
                <w:t>densed Financial Statements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8ee6f6522149b9bdb13c37060d945f_75">
              <w:r>
                <w:rPr>
                  <w:rStyle w:val="InternetLink"/>
                  <w:rFonts w:ascii="Trade Gothic;sans-serif" w:hAnsi="Trade Gothic;sans-serif"/>
                  <w:b w:val="false"/>
                  <w:strike w:val="false"/>
                  <w:dstrike w:val="false"/>
                  <w:color w:val="000000"/>
                  <w:sz w:val="20"/>
                  <w:u w:val="none"/>
                  <w:effect w:val="none"/>
                </w:rPr>
                <w:t>10</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2</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cd8d1dbe640b3a98916a6636db051_1543">
              <w:r>
                <w:rPr>
                  <w:rStyle w:val="InternetLink"/>
                  <w:rFonts w:ascii="Trade Gothic;sans-serif" w:hAnsi="Trade Gothic;sans-serif"/>
                  <w:b/>
                  <w:color w:val="3051F2"/>
                  <w:sz w:val="20"/>
                  <w:u w:val="single"/>
                </w:rPr>
                <w:t>Management's Discussion and Analysis of Financial Condition and Results of Operations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7cd8d1dbe640b3a98916a6636db051_1543">
              <w:r>
                <w:rPr>
                  <w:rStyle w:val="InternetLink"/>
                  <w:rFonts w:ascii="Trade Gothic;sans-serif" w:hAnsi="Trade Gothic;sans-serif"/>
                  <w:b w:val="false"/>
                  <w:strike w:val="false"/>
                  <w:dstrike w:val="false"/>
                  <w:color w:val="000000"/>
                  <w:sz w:val="20"/>
                  <w:u w:val="none"/>
                  <w:effect w:val="none"/>
                </w:rPr>
                <w:t>20</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3</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bdbcd37c16d4b779908ba97fc01e9b0_728">
              <w:r>
                <w:rPr>
                  <w:rStyle w:val="InternetLink"/>
                  <w:rFonts w:ascii="Trade Gothic;sans-serif" w:hAnsi="Trade Gothic;sans-serif"/>
                  <w:b/>
                  <w:color w:val="3051F2"/>
                  <w:sz w:val="20"/>
                  <w:u w:val="single"/>
                </w:rPr>
                <w:t>Quantitative and Qualitative Disclosures About Market Risk</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dbcd37c16d4b779908ba97fc01e9b0_728">
              <w:r>
                <w:rPr>
                  <w:rStyle w:val="InternetLink"/>
                  <w:rFonts w:ascii="Trade Gothic;sans-serif" w:hAnsi="Trade Gothic;sans-serif"/>
                  <w:b w:val="false"/>
                  <w:strike w:val="false"/>
                  <w:dstrike w:val="false"/>
                  <w:color w:val="000000"/>
                  <w:sz w:val="20"/>
                  <w:u w:val="none"/>
                  <w:effect w:val="none"/>
                </w:rPr>
                <w:t>27</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4</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a57abdce734c118e96a1a582a4bd97_21016">
              <w:r>
                <w:rPr>
                  <w:rStyle w:val="InternetLink"/>
                  <w:rFonts w:ascii="Trade Gothic;sans-serif" w:hAnsi="Trade Gothic;sans-serif"/>
                  <w:b/>
                  <w:color w:val="000080"/>
                  <w:sz w:val="20"/>
                  <w:u w:val="single"/>
                </w:rPr>
                <w:t>C</w:t>
              </w:r>
            </w:hyperlink>
            <w:hyperlink w:anchor="i87a57abdce734c118e96a1a582a4bd97_21016">
              <w:r>
                <w:rPr>
                  <w:rStyle w:val="InternetLink"/>
                  <w:rFonts w:ascii="Trade Gothic;sans-serif" w:hAnsi="Trade Gothic;sans-serif"/>
                  <w:b/>
                  <w:color w:val="000080"/>
                  <w:sz w:val="20"/>
                  <w:u w:val="single"/>
                </w:rPr>
                <w:t>ont</w:t>
              </w:r>
            </w:hyperlink>
            <w:hyperlink w:anchor="i87a57abdce734c118e96a1a582a4bd97_21016">
              <w:r>
                <w:rPr>
                  <w:rStyle w:val="InternetLink"/>
                  <w:rFonts w:ascii="Trade Gothic;sans-serif" w:hAnsi="Trade Gothic;sans-serif"/>
                  <w:b/>
                  <w:color w:val="000080"/>
                  <w:sz w:val="20"/>
                  <w:u w:val="single"/>
                </w:rPr>
                <w:t>rols and Procedures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a57abdce734c118e96a1a582a4bd97_21016">
              <w:r>
                <w:rPr>
                  <w:rStyle w:val="InternetLink"/>
                  <w:rFonts w:ascii="Trade Gothic;sans-serif" w:hAnsi="Trade Gothic;sans-serif"/>
                  <w:b w:val="false"/>
                  <w:strike w:val="false"/>
                  <w:dstrike w:val="false"/>
                  <w:color w:val="000000"/>
                  <w:sz w:val="20"/>
                  <w:u w:val="none"/>
                  <w:effect w:val="none"/>
                </w:rPr>
                <w:t>27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II</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1006a129164269bab0c6105e75e3ba_3335">
              <w:r>
                <w:rPr>
                  <w:rStyle w:val="InternetLink"/>
                  <w:rFonts w:ascii="Trade Gothic;sans-serif" w:hAnsi="Trade Gothic;sans-serif"/>
                  <w:b/>
                  <w:color w:val="000080"/>
                  <w:sz w:val="20"/>
                  <w:u w:val="single"/>
                </w:rPr>
                <w:t>O</w:t>
              </w:r>
            </w:hyperlink>
            <w:hyperlink w:anchor="i651006a129164269bab0c6105e75e3ba_3335">
              <w:r>
                <w:rPr>
                  <w:rStyle w:val="InternetLink"/>
                  <w:rFonts w:ascii="Trade Gothic;sans-serif" w:hAnsi="Trade Gothic;sans-serif"/>
                  <w:b/>
                  <w:color w:val="000080"/>
                  <w:sz w:val="20"/>
                  <w:u w:val="single"/>
                </w:rPr>
                <w:t>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1006a129164269bab0c6105e75e3ba_3335">
              <w:r>
                <w:rPr>
                  <w:rStyle w:val="InternetLink"/>
                  <w:rFonts w:ascii="Trade Gothic;sans-serif" w:hAnsi="Trade Gothic;sans-serif"/>
                  <w:b w:val="false"/>
                  <w:strike w:val="false"/>
                  <w:dstrike w:val="false"/>
                  <w:color w:val="000000"/>
                  <w:sz w:val="20"/>
                  <w:u w:val="none"/>
                  <w:effect w:val="none"/>
                </w:rPr>
                <w:t>28</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1</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25c0a9db8343f8a17f1cbb2988fba5_3548">
              <w:r>
                <w:rPr>
                  <w:rStyle w:val="InternetLink"/>
                  <w:rFonts w:ascii="Trade Gothic;sans-serif" w:hAnsi="Trade Gothic;sans-serif"/>
                  <w:b/>
                  <w:color w:val="000080"/>
                  <w:sz w:val="20"/>
                  <w:u w:val="single"/>
                </w:rPr>
                <w:t>L</w:t>
              </w:r>
            </w:hyperlink>
            <w:hyperlink w:anchor="i5625c0a9db8343f8a17f1cbb2988fba5_3548">
              <w:r>
                <w:rPr>
                  <w:rStyle w:val="InternetLink"/>
                  <w:rFonts w:ascii="Trade Gothic;sans-serif" w:hAnsi="Trade Gothic;sans-serif"/>
                  <w:b/>
                  <w:color w:val="000080"/>
                  <w:sz w:val="20"/>
                  <w:u w:val="single"/>
                </w:rPr>
                <w:t>egal Proceedi</w:t>
              </w:r>
            </w:hyperlink>
            <w:hyperlink w:anchor="i5625c0a9db8343f8a17f1cbb2988fba5_3548">
              <w:r>
                <w:rPr>
                  <w:rStyle w:val="InternetLink"/>
                  <w:rFonts w:ascii="Trade Gothic;sans-serif" w:hAnsi="Trade Gothic;sans-serif"/>
                  <w:b/>
                  <w:color w:val="000080"/>
                  <w:sz w:val="20"/>
                  <w:u w:val="single"/>
                </w:rPr>
                <w:t>ngs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25c0a9db8343f8a17f1cbb2988fba5_3548">
              <w:r>
                <w:rPr>
                  <w:rStyle w:val="InternetLink"/>
                  <w:rFonts w:ascii="Trade Gothic;sans-serif" w:hAnsi="Trade Gothic;sans-serif"/>
                  <w:b w:val="false"/>
                  <w:strike w:val="false"/>
                  <w:dstrike w:val="false"/>
                  <w:color w:val="000000"/>
                  <w:sz w:val="20"/>
                  <w:u w:val="none"/>
                  <w:effect w:val="none"/>
                </w:rPr>
                <w:t>28</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1A</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8c81aa6a1f4571b3eb52fdcc924823_450014">
              <w:r>
                <w:rPr>
                  <w:rStyle w:val="InternetLink"/>
                  <w:rFonts w:ascii="Trade Gothic;sans-serif" w:hAnsi="Trade Gothic;sans-serif"/>
                  <w:b/>
                  <w:color w:val="000080"/>
                  <w:sz w:val="20"/>
                  <w:u w:val="single"/>
                </w:rPr>
                <w:t>R</w:t>
              </w:r>
            </w:hyperlink>
            <w:hyperlink w:anchor="iea8c81aa6a1f4571b3eb52fdcc924823_450014">
              <w:r>
                <w:rPr>
                  <w:rStyle w:val="InternetLink"/>
                  <w:rFonts w:ascii="Trade Gothic;sans-serif" w:hAnsi="Trade Gothic;sans-serif"/>
                  <w:b/>
                  <w:color w:val="000080"/>
                  <w:sz w:val="20"/>
                  <w:u w:val="single"/>
                </w:rPr>
                <w:t>isk F</w:t>
              </w:r>
            </w:hyperlink>
            <w:hyperlink w:anchor="iea8c81aa6a1f4571b3eb52fdcc924823_450014">
              <w:r>
                <w:rPr>
                  <w:rStyle w:val="InternetLink"/>
                  <w:rFonts w:ascii="Trade Gothic;sans-serif" w:hAnsi="Trade Gothic;sans-serif"/>
                  <w:b/>
                  <w:color w:val="000080"/>
                  <w:sz w:val="20"/>
                  <w:u w:val="single"/>
                </w:rPr>
                <w:t>actors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8c81aa6a1f4571b3eb52fdcc924823_450014">
              <w:r>
                <w:rPr>
                  <w:rStyle w:val="InternetLink"/>
                  <w:rFonts w:ascii="Trade Gothic;sans-serif" w:hAnsi="Trade Gothic;sans-serif"/>
                  <w:b w:val="false"/>
                  <w:strike w:val="false"/>
                  <w:dstrike w:val="false"/>
                  <w:color w:val="000000"/>
                  <w:sz w:val="20"/>
                  <w:u w:val="none"/>
                  <w:effect w:val="none"/>
                </w:rPr>
                <w:t>28</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2</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8561dfa0d348a9aea04d9c754ec006_2112">
              <w:r>
                <w:rPr>
                  <w:rStyle w:val="InternetLink"/>
                  <w:rFonts w:ascii="Trade Gothic;sans-serif" w:hAnsi="Trade Gothic;sans-serif"/>
                  <w:b/>
                  <w:color w:val="000080"/>
                  <w:sz w:val="20"/>
                  <w:u w:val="single"/>
                </w:rPr>
                <w:t>U</w:t>
              </w:r>
            </w:hyperlink>
            <w:hyperlink w:anchor="i938561dfa0d348a9aea04d9c754ec006_2112">
              <w:r>
                <w:rPr>
                  <w:rStyle w:val="InternetLink"/>
                  <w:rFonts w:ascii="Trade Gothic;sans-serif" w:hAnsi="Trade Gothic;sans-serif"/>
                  <w:b/>
                  <w:color w:val="000080"/>
                  <w:sz w:val="20"/>
                  <w:u w:val="single"/>
                </w:rPr>
                <w:t>nregistered Sales of Equity Securities and Use of Proc</w:t>
              </w:r>
            </w:hyperlink>
            <w:hyperlink w:anchor="i938561dfa0d348a9aea04d9c754ec006_2112">
              <w:r>
                <w:rPr>
                  <w:rStyle w:val="InternetLink"/>
                  <w:rFonts w:ascii="Trade Gothic;sans-serif" w:hAnsi="Trade Gothic;sans-serif"/>
                  <w:b/>
                  <w:color w:val="000080"/>
                  <w:sz w:val="20"/>
                  <w:u w:val="single"/>
                </w:rPr>
                <w:t>eeds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8561dfa0d348a9aea04d9c754ec006_2112">
              <w:r>
                <w:rPr>
                  <w:rStyle w:val="InternetLink"/>
                  <w:rFonts w:ascii="Trade Gothic;sans-serif" w:hAnsi="Trade Gothic;sans-serif"/>
                  <w:b w:val="false"/>
                  <w:strike w:val="false"/>
                  <w:dstrike w:val="false"/>
                  <w:color w:val="000000"/>
                  <w:sz w:val="20"/>
                  <w:u w:val="none"/>
                  <w:effect w:val="none"/>
                </w:rPr>
                <w:t>88</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3</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e1a232b87964080a9bc2a7c46ce1649_380">
              <w:r>
                <w:rPr>
                  <w:rStyle w:val="InternetLink"/>
                  <w:rFonts w:ascii="Trade Gothic;sans-serif" w:hAnsi="Trade Gothic;sans-serif"/>
                  <w:b/>
                  <w:color w:val="000080"/>
                  <w:sz w:val="20"/>
                  <w:u w:val="single"/>
                </w:rPr>
                <w:t>D</w:t>
              </w:r>
            </w:hyperlink>
            <w:hyperlink w:anchor="i5e1a232b87964080a9bc2a7c46ce1649_380">
              <w:r>
                <w:rPr>
                  <w:rStyle w:val="InternetLink"/>
                  <w:rFonts w:ascii="Trade Gothic;sans-serif" w:hAnsi="Trade Gothic;sans-serif"/>
                  <w:b/>
                  <w:color w:val="000080"/>
                  <w:sz w:val="20"/>
                  <w:u w:val="single"/>
                </w:rPr>
                <w:t>efaults Upon Senio</w:t>
              </w:r>
            </w:hyperlink>
            <w:hyperlink w:anchor="i5e1a232b87964080a9bc2a7c46ce1649_380">
              <w:r>
                <w:rPr>
                  <w:rStyle w:val="InternetLink"/>
                  <w:rFonts w:ascii="Trade Gothic;sans-serif" w:hAnsi="Trade Gothic;sans-serif"/>
                  <w:b/>
                  <w:color w:val="000080"/>
                  <w:sz w:val="20"/>
                  <w:u w:val="single"/>
                </w:rPr>
                <w:t>r Securities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1a232b87964080a9bc2a7c46ce1649_380">
              <w:r>
                <w:rPr>
                  <w:rStyle w:val="InternetLink"/>
                  <w:rFonts w:ascii="Trade Gothic;sans-serif" w:hAnsi="Trade Gothic;sans-serif"/>
                  <w:b w:val="false"/>
                  <w:strike w:val="false"/>
                  <w:dstrike w:val="false"/>
                  <w:color w:val="000000"/>
                  <w:sz w:val="20"/>
                  <w:u w:val="none"/>
                  <w:effect w:val="none"/>
                </w:rPr>
                <w:t>88</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4</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86abf50b0fc47868f915b324bb991d1_258">
              <w:r>
                <w:rPr>
                  <w:rStyle w:val="InternetLink"/>
                  <w:rFonts w:ascii="Trade Gothic;sans-serif" w:hAnsi="Trade Gothic;sans-serif"/>
                  <w:b/>
                  <w:color w:val="000080"/>
                  <w:sz w:val="20"/>
                  <w:u w:val="single"/>
                </w:rPr>
                <w:t>M</w:t>
              </w:r>
            </w:hyperlink>
            <w:hyperlink w:anchor="ie86abf50b0fc47868f915b324bb991d1_258">
              <w:r>
                <w:rPr>
                  <w:rStyle w:val="InternetLink"/>
                  <w:rFonts w:ascii="Trade Gothic;sans-serif" w:hAnsi="Trade Gothic;sans-serif"/>
                  <w:b/>
                  <w:color w:val="000080"/>
                  <w:sz w:val="20"/>
                  <w:u w:val="single"/>
                </w:rPr>
                <w:t>ine Safe</w:t>
              </w:r>
            </w:hyperlink>
            <w:hyperlink w:anchor="ie86abf50b0fc47868f915b324bb991d1_258">
              <w:r>
                <w:rPr>
                  <w:rStyle w:val="InternetLink"/>
                  <w:rFonts w:ascii="Trade Gothic;sans-serif" w:hAnsi="Trade Gothic;sans-serif"/>
                  <w:b/>
                  <w:color w:val="000080"/>
                  <w:sz w:val="20"/>
                  <w:u w:val="single"/>
                </w:rPr>
                <w:t>ty Disclosures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6abf50b0fc47868f915b324bb991d1_258">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5</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41cfeb18984c78873bc36d795eedd1_155">
              <w:r>
                <w:rPr>
                  <w:rStyle w:val="InternetLink"/>
                  <w:rFonts w:ascii="Trade Gothic;sans-serif" w:hAnsi="Trade Gothic;sans-serif"/>
                  <w:b/>
                  <w:color w:val="000080"/>
                  <w:sz w:val="20"/>
                  <w:u w:val="single"/>
                </w:rPr>
                <w:t>O</w:t>
              </w:r>
            </w:hyperlink>
            <w:hyperlink w:anchor="i5941cfeb18984c78873bc36d795eedd1_155">
              <w:r>
                <w:rPr>
                  <w:rStyle w:val="InternetLink"/>
                  <w:rFonts w:ascii="Trade Gothic;sans-serif" w:hAnsi="Trade Gothic;sans-serif"/>
                  <w:b/>
                  <w:color w:val="000080"/>
                  <w:sz w:val="20"/>
                  <w:u w:val="single"/>
                </w:rPr>
                <w:t>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41cfeb18984c78873bc36d795eedd1_155">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Item 6</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765c2f72ea4c66a769a61566e758a5_1005">
              <w:r>
                <w:rPr>
                  <w:rStyle w:val="InternetLink"/>
                  <w:rFonts w:ascii="Trade Gothic;sans-serif" w:hAnsi="Trade Gothic;sans-serif"/>
                  <w:b/>
                  <w:color w:val="000080"/>
                  <w:sz w:val="20"/>
                  <w:u w:val="single"/>
                </w:rPr>
                <w:t>E</w:t>
              </w:r>
            </w:hyperlink>
            <w:hyperlink w:anchor="ib2765c2f72ea4c66a769a61566e758a5_1005">
              <w:r>
                <w:rPr>
                  <w:rStyle w:val="InternetLink"/>
                  <w:rFonts w:ascii="Trade Gothic;sans-serif" w:hAnsi="Trade Gothic;sans-serif"/>
                  <w:b/>
                  <w:color w:val="000080"/>
                  <w:sz w:val="20"/>
                  <w:u w:val="single"/>
                </w:rPr>
                <w:t>xhibits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765c2f72ea4c66a769a61566e758a5_1005">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acdd2ab04e4a25a93f3133e8abda76_2555">
              <w:r>
                <w:rPr>
                  <w:rStyle w:val="InternetLink"/>
                  <w:rFonts w:ascii="Trade Gothic;sans-serif" w:hAnsi="Trade Gothic;sans-serif"/>
                  <w:b/>
                  <w:color w:val="000080"/>
                  <w:sz w:val="20"/>
                  <w:u w:val="single"/>
                </w:rPr>
                <w:t>S</w:t>
              </w:r>
            </w:hyperlink>
            <w:hyperlink w:anchor="i8bacdd2ab04e4a25a93f3133e8abda76_2555">
              <w:r>
                <w:rPr>
                  <w:rStyle w:val="InternetLink"/>
                  <w:rFonts w:ascii="Trade Gothic;sans-serif" w:hAnsi="Trade Gothic;sans-serif"/>
                  <w:b/>
                  <w:color w:val="000080"/>
                  <w:sz w:val="20"/>
                  <w:u w:val="single"/>
                </w:rPr>
                <w:t>ignatures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acdd2ab04e4a25a93f3133e8abda76_2555">
              <w:r>
                <w:rPr>
                  <w:rStyle w:val="InternetLink"/>
                  <w:rFonts w:ascii="Trade Gothic;sans-serif" w:hAnsi="Trade Gothic;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0335"/>
                <wp:effectExtent l="0" t="0" r="0" b="0"/>
                <wp:wrapNone/>
                <wp:docPr id="2" name="Frame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SPECIAL NOTE REGARDING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All statements other than statements of historical fact contained in this Quarterly Report, including statements regarding our plans, objectives, goals, strategies, future events, future revenues or performance, financing needs, plans, or intentions relating to product candidates and markets and business trends are forward-looking statements. In some cases, you can identify forward-looking statements because they contain words such as “may,” “will,” “should,” “expect,” “plan,” “anticipate,” “could,” “intend,” “target,” “project,” “contemplate,” “believe,” “estimate,” “predict,” “potential”, “aim” or “continue” or the negative of these words or other similar terms or expressions that concern our expectations, strategy, plans or intentions.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contained in this Quarterly Report include, but are not limited to, statements about: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likelihood of our clinical trials demonstrating safety and efficacy of our product candidates, and other positive results;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progress and results of our ongoing and planned clinical trials for our current product candidates, including statements regarding enrollment, the timing of completion of trials, and the reporting of data from our current trials, as well as the timing, progress and results of our current and future preclinical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clinical development of our product candidates, including the size, number and areas to be evaluated;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estimates regarding the total addressable market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commercializing our product candidates, if approved, including the geographic areas of focus and sales strategy;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competitive position and the success of competing products that are or may become available;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rate and degree of market acceptance by physicians, surgeons and patients, including the perceived clinical utility of our current product candidates and other product candidates we may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need to hire additional personnel and our ability to attract and retain such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scope and likelihood of regulatory filings and approvals for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our product candidates, including our lead product candidate, the Bimatoprost Drug Pad-IOL System (the BIM-IOL System);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third-party coverage, reimbursement policies and pricing regulations applicable to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further development and manufacturing of our product candidates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impact of existing laws and regulations and regulatory developments in the United States and other jurisdictions;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maintain compliance with our license agreement with the Regents of the University of Colorado, including efforts to meet the development and commercial milestones thereunder, and otherwise maintain our intellectual property rights thereunder;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intellectual property position, including the scope of protection we are able to establish and maintain for intellectual property rights covering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continued reliance on third parties, including clinical sites, to conduct additional clinical trials of our product candidates, and for the manufacture of our product candidates for clinical trials and commercialization of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accuracy of our estimates regarding expenses, future revenue, capital requirements and needs for additional financing;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0335"/>
                <wp:effectExtent l="0" t="0" r="0" b="0"/>
                <wp:wrapNone/>
                <wp:docPr id="3" name="Frame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period over which we estimate our existing cash and cash equivalents and short-term investments will be sufficient to fund our future operating expenses and capital expenditure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the period during which we will remain an emerging growth company and smaller reporting company under the Jumpstart Our Business Startups Acts of 2012, as amended (the JOBS Act);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remediating the material weakness in our internal control over financial reporting.</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We caution you that the foregoing list may not contain all of the forward-looking statements made in this Quarterly Report.</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You should not rely upon forward-looking statements as predictions of future events. We have based the forward-looking statements contained in this Quarterly Report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Neither we nor any other person assumes responsibility for the accuracy and completeness of any of these forward-looking statements. Moreover,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Annual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0335"/>
                <wp:effectExtent l="0" t="0" r="0" b="0"/>
                <wp:wrapNone/>
                <wp:docPr id="4" name="Frame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bookmarkStart w:id="0" w:name="i7eb84bac78fd4053b6dbf77091167dbb_142"/>
      <w:bookmarkEnd w:id="0"/>
      <w:r>
        <w:rPr>
          <w:rFonts w:ascii="Trade Gothic;sans-serif" w:hAnsi="Trade Gothic;sans-serif"/>
          <w:b/>
          <w:color w:val="000000"/>
          <w:sz w:val="20"/>
        </w:rPr>
        <w:t>PART I - FINANCIAL INFORMATION</w:t>
      </w:r>
    </w:p>
    <w:p>
      <w:pPr>
        <w:pStyle w:val="TextBody"/>
        <w:bidi w:val="0"/>
        <w:spacing w:lineRule="auto" w:line="288" w:before="0" w:after="240"/>
        <w:jc w:val="left"/>
        <w:rPr>
          <w:rFonts w:ascii="Trade Gothic;sans-serif" w:hAnsi="Trade Gothic;sans-serif"/>
          <w:b/>
          <w:color w:val="000000"/>
          <w:sz w:val="20"/>
        </w:rPr>
      </w:pPr>
      <w:bookmarkStart w:id="1" w:name="i7eb84bac78fd4053b6dbf77091167dbb_143"/>
      <w:bookmarkEnd w:id="1"/>
      <w:r>
        <w:rPr>
          <w:rFonts w:ascii="Trade Gothic;sans-serif" w:hAnsi="Trade Gothic;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2" w:name="i3bed870bfc65400781eb9f254f1d97a5_224"/>
      <w:bookmarkEnd w:id="2"/>
      <w:r>
        <w:rPr>
          <w:rFonts w:ascii="Trade Gothic;sans-serif" w:hAnsi="Trade Gothic;sans-serif"/>
          <w:b/>
          <w:color w:val="000000"/>
          <w:sz w:val="20"/>
        </w:rPr>
        <w:t>CONDENSED BALANCE SHEETS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and per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825"/>
        <w:gridCol w:w="2159"/>
        <w:gridCol w:w="2090"/>
        <w:gridCol w:w="234"/>
        <w:gridCol w:w="999"/>
        <w:gridCol w:w="113"/>
        <w:gridCol w:w="109"/>
        <w:gridCol w:w="109"/>
        <w:gridCol w:w="109"/>
        <w:gridCol w:w="245"/>
        <w:gridCol w:w="1043"/>
        <w:gridCol w:w="170"/>
      </w:tblGrid>
      <w:tr>
        <w:trPr/>
        <w:tc>
          <w:tcPr>
            <w:tcW w:w="2825"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w:t>
            </w:r>
          </w:p>
        </w:tc>
      </w:tr>
      <w:tr>
        <w:trPr/>
        <w:tc>
          <w:tcPr>
            <w:tcW w:w="7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Assets</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Current assets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238,902 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96,358 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Short-term investments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12,100 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11,078 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receivables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431 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Prepaid expenses and other current assets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1,707 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901 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current assets</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253,362 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108,768 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non-current assets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Property and equipment,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2,339 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Deferred offering costs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2,715 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Right-of-use asset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1,552 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8"/>
              </w:rPr>
              <w:t>258,386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8"/>
              </w:rPr>
              <w:t>115,866</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Liabilities, Redeemable Convertible Preferred Stock and Stockholders' Equity (Deficit)</w:t>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Current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3,514 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2,696 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Payroll-related accruals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2,182 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current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2,271 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074"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current liabilities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6,667 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8,584 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Lease liability,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1,607 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1,582 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liabilities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8,274 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10,166 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Commitments and contingencies (Note 7)</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Redeemable convertible preferred stock, $.00001 par value; 0 shares authorized, issued and outstanding as of March 31, 2026; 116,618,581 shares authorized, 20,341,968 shares issued and outstanding as of December 31, 2025 (aggregate liquidation preference of $0 and $200,878 as of March 31, 2026 and December 31, 2025, respectively)</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204,537 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Stockholders' equity (deficit)</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Preferred stock, $.00001 par value; 200,000,000 shares authorized, 0 shares issued and outstanding as of March 31, 2026; 0 shares authorized, issued, and outstanding as of December 31, 2025</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Common stock, $.00001 par value; 1,000,000,000 shares authorized; 33,432,555 shares issued and outstanding as of March 31, 2026; 154,383,336 shares authorized; 2,203,620 shares issued and outstanding as of December 31, 2025</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Common stock additional paid-in capital</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368,660 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5,893 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Accumulated deficit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(118,548)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(104,730)</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stockholders' equity (deficit)</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250,112 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(98,837)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5"/>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Total liabilities, redeemable convertible preferred stock and stockholders' equity (deficit)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8"/>
              </w:rPr>
              <w:t>258,386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8"/>
              </w:rPr>
              <w:t>115,866</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0335"/>
                <wp:effectExtent l="0" t="0" r="0" b="0"/>
                <wp:wrapNone/>
                <wp:docPr id="5" name="Frame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3" w:name="icec1419a34c5406e8f0c858bf3617e58_405"/>
      <w:bookmarkEnd w:id="3"/>
      <w:r>
        <w:rPr>
          <w:rFonts w:ascii="Trade Gothic;sans-serif" w:hAnsi="Trade Gothic;sans-serif"/>
          <w:b/>
          <w:color w:val="000000"/>
          <w:sz w:val="20"/>
        </w:rPr>
        <w:t>CONDENSED STATEMENTS OF OPERATIONS AND COMPREHENSIVE LOSS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and per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637"/>
        <w:gridCol w:w="2248"/>
        <w:gridCol w:w="2259"/>
        <w:gridCol w:w="246"/>
        <w:gridCol w:w="1052"/>
        <w:gridCol w:w="110"/>
        <w:gridCol w:w="110"/>
        <w:gridCol w:w="110"/>
        <w:gridCol w:w="110"/>
        <w:gridCol w:w="246"/>
        <w:gridCol w:w="916"/>
        <w:gridCol w:w="161"/>
      </w:tblGrid>
      <w:tr>
        <w:trPr/>
        <w:tc>
          <w:tcPr>
            <w:tcW w:w="263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March 31,</w:t>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6,867 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operating expenses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15,409 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from operations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(15,409)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(7,423)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Interest income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other income (expense)</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(1,400)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Loss before income tax</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(13,818)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(8,823)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Net loss and comprehensive loss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(13,818)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(8,823)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w:t>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common stock outstanding, basic and diluted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19,927,848 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2,229,637 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 basic and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0335"/>
                <wp:effectExtent l="0" t="0" r="0" b="0"/>
                <wp:wrapNone/>
                <wp:docPr id="6" name="Frame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4" w:name="if9920421f7c54f6888850ee91f124f8e_543"/>
      <w:bookmarkEnd w:id="4"/>
      <w:r>
        <w:rPr>
          <w:rFonts w:ascii="Trade Gothic;sans-serif" w:hAnsi="Trade Gothic;sans-serif"/>
          <w:b/>
          <w:color w:val="000000"/>
          <w:sz w:val="20"/>
        </w:rPr>
        <w:t>CONDENSED STATEMENTS OF REDEEMABLE CONVERTIBLE PREFERRED STOCK AND STOCKHOLDERS’ EQUITY (DEFICIT)</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4041" w:type="dxa"/>
        <w:jc w:val="left"/>
        <w:tblInd w:w="0" w:type="dxa"/>
        <w:tblLayout w:type="fixed"/>
        <w:tblCellMar>
          <w:top w:w="28" w:type="dxa"/>
          <w:left w:w="28" w:type="dxa"/>
          <w:bottom w:w="28" w:type="dxa"/>
          <w:right w:w="28" w:type="dxa"/>
        </w:tblCellMar>
      </w:tblPr>
      <w:tblGrid>
        <w:gridCol w:w="941"/>
        <w:gridCol w:w="339"/>
        <w:gridCol w:w="341"/>
        <w:gridCol w:w="109"/>
        <w:gridCol w:w="109"/>
        <w:gridCol w:w="109"/>
        <w:gridCol w:w="697"/>
        <w:gridCol w:w="699"/>
        <w:gridCol w:w="246"/>
        <w:gridCol w:w="109"/>
        <w:gridCol w:w="109"/>
        <w:gridCol w:w="109"/>
        <w:gridCol w:w="241"/>
        <w:gridCol w:w="1051"/>
        <w:gridCol w:w="109"/>
        <w:gridCol w:w="109"/>
        <w:gridCol w:w="109"/>
        <w:gridCol w:w="109"/>
        <w:gridCol w:w="109"/>
        <w:gridCol w:w="109"/>
        <w:gridCol w:w="109"/>
        <w:gridCol w:w="697"/>
        <w:gridCol w:w="699"/>
        <w:gridCol w:w="246"/>
        <w:gridCol w:w="109"/>
        <w:gridCol w:w="109"/>
        <w:gridCol w:w="109"/>
        <w:gridCol w:w="268"/>
        <w:gridCol w:w="451"/>
        <w:gridCol w:w="122"/>
        <w:gridCol w:w="109"/>
        <w:gridCol w:w="109"/>
        <w:gridCol w:w="109"/>
        <w:gridCol w:w="241"/>
        <w:gridCol w:w="1051"/>
        <w:gridCol w:w="109"/>
        <w:gridCol w:w="109"/>
        <w:gridCol w:w="109"/>
        <w:gridCol w:w="109"/>
        <w:gridCol w:w="241"/>
        <w:gridCol w:w="1081"/>
        <w:gridCol w:w="109"/>
        <w:gridCol w:w="109"/>
        <w:gridCol w:w="109"/>
        <w:gridCol w:w="109"/>
        <w:gridCol w:w="241"/>
        <w:gridCol w:w="105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9,608,914</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72,546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2,196,423</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(64,861)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(60,474)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86,579 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Series C-2 redeemable convertible preferred stock, net of issuance costs and tranche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4,933,589 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14,542,503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127,485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2,283,002</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(73,684)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(68,852)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January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20,341,968</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2,203,620</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5,893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(104,730)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(98,837)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105,717 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Conversion of redeemable convertible preferred stock into common stock on the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common stock in initial public offering, net of underwriting discounts and commissions and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10,781,250 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156,500 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33,432,555</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368,660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(118,548)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250,112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0335"/>
                <wp:effectExtent l="0" t="0" r="0" b="0"/>
                <wp:wrapNone/>
                <wp:docPr id="7" name="Frame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5" w:name="ie718f8eeba6e41e08eea3b35f77e028e_270"/>
      <w:bookmarkEnd w:id="5"/>
      <w:r>
        <w:rPr>
          <w:rFonts w:ascii="Trade Gothic;sans-serif" w:hAnsi="Trade Gothic;sans-serif"/>
          <w:b/>
          <w:color w:val="000000"/>
          <w:sz w:val="20"/>
        </w:rPr>
        <w:t>CONDENSED STATEMENTS OF CASH FLOWS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667"/>
        <w:gridCol w:w="2260"/>
        <w:gridCol w:w="2268"/>
        <w:gridCol w:w="241"/>
        <w:gridCol w:w="1012"/>
        <w:gridCol w:w="116"/>
        <w:gridCol w:w="116"/>
        <w:gridCol w:w="116"/>
        <w:gridCol w:w="116"/>
        <w:gridCol w:w="241"/>
        <w:gridCol w:w="883"/>
        <w:gridCol w:w="169"/>
      </w:tblGrid>
      <w:tr>
        <w:trPr/>
        <w:tc>
          <w:tcPr>
            <w:tcW w:w="266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March 31,</w:t>
            </w:r>
          </w:p>
        </w:tc>
      </w:tr>
      <w:tr>
        <w:trPr/>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Cash flows from operating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(13,818)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(8,823)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Adjustments to reconcile net loss to net cash used in operating activities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Depreciation expense</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Non-cash lease expense</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Stock-based compensation</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345 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Change in fair value of redeemable convertible preferred stock tranche liability</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1,526 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Interest receivable</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Changes in:</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Other receivables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(205)</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Prepaid expenses and other current assets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(805)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157 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Other non-current assets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(26)</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Accounts payable</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953 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(372)</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Payroll-related accruals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(1,300)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(883)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Other current liabilities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(35)</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Lease liability</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(108)</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Net cash used in operating activities</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(13,544)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(8,201)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Cash flows from investing activities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Property and equipment</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(676)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(164)</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Purchases of short-term investments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(4,000)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Redemptions of short-term investments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Net cash used in investing activities</w:t>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(1,667)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(164)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Cash flows from financing activities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Proceeds from exercise of stock options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Gross proceeds from issuance of redeemable convertible preferred stock</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50,010 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Issuance costs of redeemable convertible preferred stock</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Gross proceeds from initial public offering of common stock, net of underwriting discounts and commissions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160,425 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Payments for deferred initial public offering costs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(2,725)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Net cash provided by financing activities</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157,755 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50,096 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Net increase in cash and cash equivalents</w:t>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142,544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41,731</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Cash and cash equivalents, beginning of period</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96,358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16,268</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Cash and cash equivalents, end of period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238,902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7"/>
              </w:rPr>
              <w:t>57,999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7"/>
              </w:rPr>
            </w:pPr>
            <w:r>
              <w:rPr>
                <w:rFonts w:ascii="Trade Gothic;sans-serif" w:hAnsi="Trade Gothic;sans-serif"/>
                <w:b/>
                <w:color w:val="000000"/>
                <w:sz w:val="17"/>
              </w:rPr>
              <w:t>Supplemental cash flow information</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Cash paid for taxes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Conversion of redeemable convertible preferred stock upon initial public offering</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204,537 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Settlement of redeemable convertible preferred stock tranche liability</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4,943 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Purchases of property and equipment included in accounts payable and other current liabilities</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296 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36 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Deferred offering costs included in accounts payable and other current liabilities</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10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7"/>
              </w:rPr>
            </w:pPr>
            <w:r>
              <w:rPr>
                <w:rFonts w:ascii="Trade Gothic;sans-serif" w:hAnsi="Trade Gothic;sans-serif"/>
                <w:b w:val="false"/>
                <w:color w:val="000000"/>
                <w:sz w:val="17"/>
              </w:rPr>
              <w:t>17 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7"/>
              </w:rPr>
            </w:pPr>
            <w:r>
              <w:rPr>
                <w:rFonts w:ascii="Trade Gothic;sans-serif" w:hAnsi="Trade Gothic;sans-serif"/>
                <w:b w:val="false"/>
                <w:color w:val="000000"/>
                <w:sz w:val="17"/>
              </w:rPr>
              <w:t>$</w:t>
            </w:r>
          </w:p>
        </w:tc>
        <w:tc>
          <w:tcPr>
            <w:tcW w:w="8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0335"/>
                <wp:effectExtent l="0" t="0" r="0" b="0"/>
                <wp:wrapNone/>
                <wp:docPr id="8" name="Frame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left"/>
        <w:rPr>
          <w:rFonts w:ascii="Trade Gothic;sans-serif" w:hAnsi="Trade Gothic;sans-serif"/>
          <w:b/>
          <w:color w:val="000000"/>
          <w:sz w:val="20"/>
        </w:rPr>
      </w:pPr>
      <w:bookmarkStart w:id="6" w:name="id48ee6f6522149b9bdb13c37060d945f_75"/>
      <w:bookmarkEnd w:id="6"/>
      <w:r>
        <w:rPr>
          <w:rFonts w:ascii="Trade Gothic;sans-serif" w:hAnsi="Trade Gothic;sans-serif"/>
          <w:b/>
          <w:color w:val="000000"/>
          <w:sz w:val="20"/>
        </w:rPr>
        <w:t>Notes to Condensed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 Description of Business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SpyGlass Pharma, Inc. (the Company) was incorporated on January 7, 2019. The Company is a late-stage biopharmaceutical company and has initiated its Phase 3 clinical trials for its lead product, an IOL mounted, controlled release, drug delivery system intended to treat glaucoma through the delivery of the drug bimatoprost.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Reverse Stock Split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board of directors and stockholders approved a one-for-5.7329 reverse stock split effective on January 28, 2026 of its issued and outstanding common stock, Series A, Series B, Series C-1, Series C-2, and Series D redeemable convertible preferred stock. Accordingly, all share and per share amounts for all periods presented in the accompanying condensed financial statements and notes thereto have been retroactively adjusted, where applicable, to reflect the effects of the reverse stock split. The authorized shares and par value of the common stock and preferred stock remained unchanged as a result of the reverse stock split. As the number, issuance price, and conversion price of all outstanding preferred stock were adjusted, the conversion ratios for each series of the Company’s preferred stock were unchanged. Additionally, the number of shares of common stock underlying outstanding stock options were proportionately reduced and the respective exercise prices were proportionately increased in accordance with the terms of the appropriate agreements.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Initial Public Offering of Common Stock</w:t>
      </w:r>
    </w:p>
    <w:p>
      <w:pPr>
        <w:pStyle w:val="TextBody"/>
        <w:bidi w:val="0"/>
        <w:spacing w:lineRule="auto" w:line="288" w:before="0" w:after="240"/>
        <w:jc w:val="left"/>
        <w:rPr/>
      </w:pPr>
      <w:r>
        <w:rPr>
          <w:rFonts w:ascii="Trade Gothic;sans-serif" w:hAnsi="Trade Gothic;sans-serif"/>
          <w:b w:val="false"/>
          <w:color w:val="000000"/>
          <w:sz w:val="19"/>
        </w:rPr>
        <w:t>On February 9, 2026, the Company closed its initial public offering (IPO) of 10,781,250 shares of common stock, which included the exercise in full of the underwriters’ option to purchase 1,406,250 additional shares of common stock, at a public offering price of $16.00 per share. The aggregate gross proceeds from the offering were $172.5 million, before deducting underwriting discounts and commissions and other offering expenses. Upon the pricing of the IPO, on February 5, 2026, the Company granted 1,312,044 options to purchase shares of common stock at the public offering price under the Company’s 2026 Equity Incentive Plan (the 2026 Plan), which became effective</w:t>
      </w:r>
      <w:r>
        <w:rPr>
          <w:color w:val="000000"/>
        </w:rPr>
        <w:t xml:space="preserve"> </w:t>
      </w:r>
      <w:r>
        <w:rPr>
          <w:rFonts w:ascii="Trade Gothic;sans-serif" w:hAnsi="Trade Gothic;sans-serif"/>
          <w:b w:val="false"/>
          <w:color w:val="000000"/>
          <w:sz w:val="19"/>
        </w:rPr>
        <w:t>in connection with the IPO of common stock. The Company’s 2019 Equity Incentive Plan (the 2019 Plan) terminated upon the effectiveness of the 2026 Plan, and the Company will not grant any additional awards under the 2019 Plan following its termination. However, the 2019 Plan will continue to govern the terms and conditions of the outstanding awards previously granted under our 2019 Plan.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Risks, uncertainties, going concern and management’s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subject to certain risks and uncertainties, including, but not limited to changes in any of the following areas that the Company believes could have a material adverse effect on future financial position or results of operations: the availability of future financing; the ability to obtain regulatory approval and market acceptance of, and reimbursement for, the Company’s drug candidates if approved; the performance of third-party clinical research organizations and manufacturers; licenses of intellectual property; future development of intellectual property; litigation or claims against the Company, patent, product, regulatory or other factors; and the Company’s ability to attract and retain employees necessary to support commercial operations. In addition, significant changes in the biotechnology industry or the approval of competitive products or therapies could adversely affect the Company’s development and operating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accompanying condensed financial statements have been prepared in conformity with accounting principles generally accepted in the United States of America (GAAP), which contemplate continuation of the Company as a going concern. To date, the Company has relied on equity financing to fund its operations. The Company has an accumulated deficit of $118.5 million as of March 31, 2026, and used cash in operations of $13.5 million during the three months ended March 31, 2026. While the Company has no revenue-generating activities, working capital totaled $246.7 million as of March 31, 2026.</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Successful completion of development of the Company’s initial commercial products is dependent upon continued operations of the Company, which in turn is dependent upon the Company’s ability to meet its financial obligations. The Company will require substantial additional capital to fund its research and development and ongoing operating expenses. The Company expects to seek additional funding through equity financings, debt financings or other sources. The Company may not be able to obtain funding on acceptable terms, or at all. The terms of any future financing may adversely affect the holdings or the rights of the Company’s existing stockholders. If the Company is unable to raise additional funds when needed, it may be required to delay, reduce or eliminate its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0335"/>
                <wp:effectExtent l="0" t="0" r="0" b="0"/>
                <wp:wrapNone/>
                <wp:docPr id="9" name="Frame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the Company completed the IPO of its common stock, with aggregate gross proceeds from the offering of $172.5 million, before deducting underwriting discounts and commissions and other offering expenses. As of the issuance of these interim financial statements, management believes the Company’s existing cash, cash equivalents, and short-term investments provide sufficient liquidity to continue as a going concern for the next twelve months. The accompanying condensed financial statements have been prepared assuming that the Company will continue as a going concern, which contemplates the realization of assets and the settlement of liabilities and commitments in the normal course of business. The condensed financial statements do not reflect any adjustments relating to the recoverability and reclassification of assets and liabilities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2. Summary of Significant Accounting Policies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condensed financial statements and accompanying notes are prepared on the accrual basis of accounting in accordance with GAAP.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condensed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at March 31, 2026 and the results of its operations and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or for any other subsequent interim period. The accompanying condensed balance sheet at December 31, 2025 was derived from the Company’s audited annual financial statements included in its Annual Report on Form 10-K for the year ended December 31, 2025; however, certain information and footnote disclosures normally included in the annual financial statements prepared in accordance with GAAP have been omitted from the unaudited interim condensed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significant accounting policies and estimates used in the preparation of the accompanying condensed financial statements are described in the Company’s audited financial statements for the year ended December 31, 2025. There have been no material changes to the Company’s accounting policies during the three months ended March 31, 2026. Additionally, there have been no updates to the Company’s evaluation of recently issued accounting standards since the issuance of the Company’s audited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3. Property and Equipment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 consisted of the following at March 31, 2026 and December 31, 2025:</w:t>
      </w:r>
    </w:p>
    <w:tbl>
      <w:tblPr>
        <w:tblW w:w="9116" w:type="dxa"/>
        <w:jc w:val="left"/>
        <w:tblInd w:w="0" w:type="dxa"/>
        <w:tblLayout w:type="fixed"/>
        <w:tblCellMar>
          <w:top w:w="28" w:type="dxa"/>
          <w:left w:w="28" w:type="dxa"/>
          <w:bottom w:w="28" w:type="dxa"/>
          <w:right w:w="28" w:type="dxa"/>
        </w:tblCellMar>
      </w:tblPr>
      <w:tblGrid>
        <w:gridCol w:w="1903"/>
        <w:gridCol w:w="1669"/>
        <w:gridCol w:w="1677"/>
        <w:gridCol w:w="342"/>
        <w:gridCol w:w="1068"/>
        <w:gridCol w:w="165"/>
        <w:gridCol w:w="109"/>
        <w:gridCol w:w="109"/>
        <w:gridCol w:w="109"/>
        <w:gridCol w:w="409"/>
        <w:gridCol w:w="1278"/>
        <w:gridCol w:w="278"/>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Machinery and equipment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2,098 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Construction in progress - machinery and equipment</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Furniture and fixtures</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Computers and hardware</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Software</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Leasehold improvements</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Construction in progress - leasehold improvements</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gross</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4,177 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Less: accumulated depreciation</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2,745 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2,339 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0335"/>
                <wp:effectExtent l="0" t="0" r="0" b="0"/>
                <wp:wrapNone/>
                <wp:docPr id="10" name="Frame1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Depreciation expense for the three months ended March 31, 2026 and 2025 was $0.3 million and $0.1 million respectively, and was allocated as follows:</w:t>
      </w:r>
    </w:p>
    <w:tbl>
      <w:tblPr>
        <w:tblW w:w="6311" w:type="dxa"/>
        <w:jc w:val="left"/>
        <w:tblInd w:w="0" w:type="dxa"/>
        <w:tblLayout w:type="fixed"/>
        <w:tblCellMar>
          <w:top w:w="28" w:type="dxa"/>
          <w:left w:w="28" w:type="dxa"/>
          <w:bottom w:w="28" w:type="dxa"/>
          <w:right w:w="28" w:type="dxa"/>
        </w:tblCellMar>
      </w:tblPr>
      <w:tblGrid>
        <w:gridCol w:w="1010"/>
        <w:gridCol w:w="886"/>
        <w:gridCol w:w="894"/>
        <w:gridCol w:w="413"/>
        <w:gridCol w:w="962"/>
        <w:gridCol w:w="199"/>
        <w:gridCol w:w="109"/>
        <w:gridCol w:w="109"/>
        <w:gridCol w:w="109"/>
        <w:gridCol w:w="404"/>
        <w:gridCol w:w="941"/>
        <w:gridCol w:w="275"/>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Depreciation expense</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were no gains or losses on dispositions of property and equipment for the three months ended March 31, 2026 and 2025. Additionally, there were no impairment losses recognized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4. Redeemable Convertible Preferred Stock and Stockholders’ Equity (Deficit)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Company's IPO on February 9, 2026, all outstanding shares of the Company’s redeemable convertible preferred stock automatically converted into shares of common stock at the applicable conversion ratio then in effect. The Company's outstanding shares of preferred stock were converted into 20,341,968 shares of common stock. As a result of the conversion, as of March 31, 2026, there were no authorized, issued or outstanding shares of redeemable convertible preferred stock.</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31, 2026, the Company had authorized 1,000,000,000 shares of common stock with a par value of $0.00001, and as of December 31, 2025, the Company had authorized 154,383,336 shares of common stock with a par value of $0.00001. As of March 31, 2026 and December 31, 2025, 33,432,555 and 2,203,620 shares of common stock were issued and outstanding, respectively.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repurchased 174,432 shares of its common stock at $8.31 per share in June 2025. The repurchased common stock was retired and returned to the status of authorized and unissued shares.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A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5,483,956 shares of Series A redeemable convertible preferred stock (Series A) with a par value of $0.00001. 956,575 shares of Series A were issued and outstanding as of December 31,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2024, the Company entered into a Series A Preferred Stock Purchase Agreement which provided for the sale and issuance of the Company’s Series A to investors. The financing provided for multiple closings and was completed in May 2019 whereby an aggregate amount of 956,575 shares of Series A were sold and issued at a purchase price of $6.31 per share for an aggregate purchase price of $6.0 million in cash. Related issuance costs for the Series A aggregated to $0.1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B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21,317,825 shares of Series B redeemable convertible preferred stock (Series B) with a par value of $0.00001.</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2024, the Company entered into a Series B Preferred Stock Purchase Agreement which provided for the sale and issuance of the Company’s Series B to investors at a purchase price of $7.40 per share. As of December 31, 2025, 3,718,503 shares of Series B were issued and outstanding. Gross cash proceeds raised from Series B totaled $27.5 million. Related issuance costs for the Series B aggregated to $0.2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C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July 2023, the Company entered into a Series C Preferred Stock Purchase Agreement which provided for the sale and issuance of the Company’s Series C redeemable convertible preferred stock in two tranches, Series C-1 and Series C-2, to investors at a purchase price of $8.11 per share and $10.14 per share, respectively. As of December 31, 2025, 4,933,836 shares of Series C-1 were issued and outstanding. Gross cash proceeds raised from Series C-1 totaled $40.0 million and were issued contemporaneously with the execution of the Series C Preferred Stock Purchase Agreement. The Company completed the issuance of the Series C-2 in March 2025. Gross cash proceeds raised from the issuance of 4,933,589 Series C-2 shares totaled $50.0 million. Related issuance costs for the Series C totaled $0.3 million from the original issuance in 2023 and an additional $20,772 in 2025 in conjunction with the Series C-2 issuance aggregating to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0335"/>
                <wp:effectExtent l="0" t="0" r="0" b="0"/>
                <wp:wrapNone/>
                <wp:docPr id="11" name="Frame1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Company determined the right of the investors to purchase shares of Series C-2 redeemable convertible preferred stock at a fixed cash issuance price per share at a future date met the definition of a freestanding financial instrument as the instrument is legally detachable and separately exercisable (the Redeemable Convertible Preferred Stock Tranche Liability) from the shares of Series C-1 Preferred Stock. The Redeemable Convertible Preferred Stock Tranche Liability was recognized at fair value upon the issuance of the Series C-1 redeemable convertible preferred stock in July 2023. The Redeemable Convertible Preferred Stock Tranche Liability was subject to remeasurement at each balance sheet date, with changes in fair value recognized within other income (expense) in the condensed statement of operations and comprehensive loss. The Redeemable Convertible Preferred Stock Tranche Liability was measured at level 3 of the fair value hierarchy in accordance with ASC 820. Upon closing of the Series C-2 preferred stock tranche in March 2025, the Redeemable Convertible Preferred Stock Tranche Liability was settled. </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D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May 2025, the Company entered into a Series D Preferred Stock Purchase Agreement which provides for the sale and issuance of the Company’s Series D redeemable convertible preferred stock (Series D) to investors at a purchase price of $13.34. As of December 31, 2025, 5,799,465 shares of Series D were issued and outstanding. Gross cash proceeds raised from Series D in the initial closing in May 2025 totaled $75.0 million and were issued contemporaneously with the execution of the Series D Preferred Stock Purchase Agreement. Gross proceeds raised from the Series D in the subsequent closing in June 2025 totaled $2.3 million. Related issuance costs for the Series D totaled $0.3 million from the original issuance and an additional $5,254 in the subsequent issuance aggregating to $0.3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consisted of the following at December 31, 2025:</w:t>
      </w:r>
    </w:p>
    <w:tbl>
      <w:tblPr>
        <w:tblW w:w="10205" w:type="dxa"/>
        <w:jc w:val="left"/>
        <w:tblInd w:w="0" w:type="dxa"/>
        <w:tblLayout w:type="fixed"/>
        <w:tblCellMar>
          <w:top w:w="28" w:type="dxa"/>
          <w:left w:w="28" w:type="dxa"/>
          <w:bottom w:w="28" w:type="dxa"/>
          <w:right w:w="28" w:type="dxa"/>
        </w:tblCellMar>
      </w:tblPr>
      <w:tblGrid>
        <w:gridCol w:w="1477"/>
        <w:gridCol w:w="1181"/>
        <w:gridCol w:w="1185"/>
        <w:gridCol w:w="698"/>
        <w:gridCol w:w="698"/>
        <w:gridCol w:w="246"/>
        <w:gridCol w:w="109"/>
        <w:gridCol w:w="109"/>
        <w:gridCol w:w="109"/>
        <w:gridCol w:w="242"/>
        <w:gridCol w:w="1060"/>
        <w:gridCol w:w="109"/>
        <w:gridCol w:w="109"/>
        <w:gridCol w:w="109"/>
        <w:gridCol w:w="109"/>
        <w:gridCol w:w="440"/>
        <w:gridCol w:w="1925"/>
        <w:gridCol w:w="290"/>
      </w:tblGrid>
      <w:tr>
        <w:trPr/>
        <w:tc>
          <w:tcPr>
            <w:tcW w:w="14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data)</w:t>
            </w:r>
          </w:p>
        </w:tc>
        <w:tc>
          <w:tcPr>
            <w:tcW w:w="63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As of December 31, 2025</w:t>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Liquidation Preference</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A preferred stock</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956,575 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6,032 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B preferred stock</w:t>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3,718,503 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27,500 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C-1 preferred stock</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40,010 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C-2 preferred stock</w:t>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4,933,589 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50,010 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D preferred stock</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5,799,465 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77,326 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redeemable convertible preferred stock</w:t>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20,341,968</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204,537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9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200,878</w:t>
            </w:r>
            <w:r>
              <w:rPr>
                <w:color w:val="000000"/>
              </w:rPr>
              <w:t>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40"/>
        <w:jc w:val="left"/>
        <w:rPr>
          <w:rFonts w:ascii="Trade Gothic;sans-serif" w:hAnsi="Trade Gothic;sans-serif"/>
          <w:b w:val="false"/>
          <w:color w:val="000000"/>
          <w:sz w:val="19"/>
        </w:rPr>
      </w:pPr>
      <w:r>
        <w:rPr>
          <w:rFonts w:ascii="Trade Gothic;sans-serif" w:hAnsi="Trade Gothic;sans-serif"/>
          <w:b w:val="false"/>
          <w:color w:val="000000"/>
          <w:sz w:val="19"/>
        </w:rPr>
        <w:t>The Company completed its IPO on February 9, 2026. In connection with the IPO, all outstanding shares of redeemable convertible preferred stock converted into an aggregate of 20,341,968 shares of common stock. As a result, no shares of redeemable convertible preferred stock remain outstanding as of March 31, 2026.</w:t>
      </w:r>
    </w:p>
    <w:p>
      <w:pPr>
        <w:pStyle w:val="TextBody"/>
        <w:bidi w:val="0"/>
        <w:spacing w:lineRule="auto" w:line="288" w:before="80" w:after="240"/>
        <w:jc w:val="left"/>
        <w:rPr>
          <w:rFonts w:ascii="Trade Gothic;sans-serif" w:hAnsi="Trade Gothic;sans-serif"/>
          <w:b w:val="false"/>
          <w:color w:val="000000"/>
          <w:sz w:val="19"/>
        </w:rPr>
      </w:pPr>
      <w:r>
        <w:rPr>
          <w:rFonts w:ascii="Trade Gothic;sans-serif" w:hAnsi="Trade Gothic;sans-serif"/>
          <w:b w:val="false"/>
          <w:color w:val="000000"/>
          <w:sz w:val="19"/>
        </w:rPr>
        <w:t>For a description of the rights, preferences and privileges of the redeemable convertible preferred stock prior to its conversion, refer to Note 4 to the audited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5. Fair Value Measurements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assets and liabilities that are measured at fair value on a recurring basis include the following as of March 31, 2026 and December 31, 2025, set forth by level within the fair value hierarchy:</w:t>
      </w:r>
    </w:p>
    <w:tbl>
      <w:tblPr>
        <w:tblW w:w="7898" w:type="dxa"/>
        <w:jc w:val="left"/>
        <w:tblInd w:w="0" w:type="dxa"/>
        <w:tblLayout w:type="fixed"/>
        <w:tblCellMar>
          <w:top w:w="28" w:type="dxa"/>
          <w:left w:w="28" w:type="dxa"/>
          <w:bottom w:w="28" w:type="dxa"/>
          <w:right w:w="28" w:type="dxa"/>
        </w:tblCellMar>
      </w:tblPr>
      <w:tblGrid>
        <w:gridCol w:w="886"/>
        <w:gridCol w:w="777"/>
        <w:gridCol w:w="781"/>
        <w:gridCol w:w="241"/>
        <w:gridCol w:w="781"/>
        <w:gridCol w:w="109"/>
        <w:gridCol w:w="109"/>
        <w:gridCol w:w="109"/>
        <w:gridCol w:w="109"/>
        <w:gridCol w:w="241"/>
        <w:gridCol w:w="916"/>
        <w:gridCol w:w="109"/>
        <w:gridCol w:w="109"/>
        <w:gridCol w:w="109"/>
        <w:gridCol w:w="109"/>
        <w:gridCol w:w="244"/>
        <w:gridCol w:w="411"/>
        <w:gridCol w:w="110"/>
        <w:gridCol w:w="109"/>
        <w:gridCol w:w="109"/>
        <w:gridCol w:w="109"/>
        <w:gridCol w:w="241"/>
        <w:gridCol w:w="91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March 31, 2026</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12,100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21,601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0335"/>
                <wp:effectExtent l="0" t="0" r="0" b="0"/>
                <wp:wrapNone/>
                <wp:docPr id="12" name="Frame1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tbl>
      <w:tblPr>
        <w:tblW w:w="7898" w:type="dxa"/>
        <w:jc w:val="left"/>
        <w:tblInd w:w="0" w:type="dxa"/>
        <w:tblLayout w:type="fixed"/>
        <w:tblCellMar>
          <w:top w:w="28" w:type="dxa"/>
          <w:left w:w="28" w:type="dxa"/>
          <w:bottom w:w="28" w:type="dxa"/>
          <w:right w:w="28" w:type="dxa"/>
        </w:tblCellMar>
      </w:tblPr>
      <w:tblGrid>
        <w:gridCol w:w="886"/>
        <w:gridCol w:w="777"/>
        <w:gridCol w:w="781"/>
        <w:gridCol w:w="241"/>
        <w:gridCol w:w="781"/>
        <w:gridCol w:w="109"/>
        <w:gridCol w:w="109"/>
        <w:gridCol w:w="109"/>
        <w:gridCol w:w="109"/>
        <w:gridCol w:w="241"/>
        <w:gridCol w:w="916"/>
        <w:gridCol w:w="109"/>
        <w:gridCol w:w="109"/>
        <w:gridCol w:w="109"/>
        <w:gridCol w:w="109"/>
        <w:gridCol w:w="244"/>
        <w:gridCol w:w="411"/>
        <w:gridCol w:w="110"/>
        <w:gridCol w:w="109"/>
        <w:gridCol w:w="109"/>
        <w:gridCol w:w="109"/>
        <w:gridCol w:w="241"/>
        <w:gridCol w:w="91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December 31, 2025</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9,416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11,078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the Redeemable Convertible Preferred Stock Tranche Liability was based on significant inputs not observable in the market, which represent a level 3 measurement within the fair value hierarchy. The fair value of the Redeemable Convertible Preferred Stock Tranche Liability was determined using a Monte Carlo simulation forecasting the timing and likelihood of certain development milestone events being achieved and discounting the probability adjusted payments using an appropriate discount rate based on market interest rates. The main assumptions when determining the fair value of the Redeemable Convertible Preferred Stock Tranche Liability is the timing of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reflects the fair value of the Company's level 3 Redeemable Convertible Preferred Stock Tranche Liability for the three months ended March 31, 2025:</w:t>
      </w:r>
    </w:p>
    <w:tbl>
      <w:tblPr>
        <w:tblW w:w="10205" w:type="dxa"/>
        <w:jc w:val="left"/>
        <w:tblInd w:w="0" w:type="dxa"/>
        <w:tblLayout w:type="fixed"/>
        <w:tblCellMar>
          <w:top w:w="28" w:type="dxa"/>
          <w:left w:w="28" w:type="dxa"/>
          <w:bottom w:w="28" w:type="dxa"/>
          <w:right w:w="28" w:type="dxa"/>
        </w:tblCellMar>
      </w:tblPr>
      <w:tblGrid>
        <w:gridCol w:w="3300"/>
        <w:gridCol w:w="2895"/>
        <w:gridCol w:w="2922"/>
        <w:gridCol w:w="226"/>
        <w:gridCol w:w="706"/>
        <w:gridCol w:w="156"/>
      </w:tblGrid>
      <w:tr>
        <w:trPr/>
        <w:tc>
          <w:tcPr>
            <w:tcW w:w="330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December 31, 2024</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the Redeemable Convertible Preferred Stock Tranche Liability in March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Settlement of tranche in March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March 31, 2025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240"/>
        <w:jc w:val="left"/>
        <w:rPr>
          <w:rFonts w:ascii="Trade Gothic;sans-serif" w:hAnsi="Trade Gothic;sans-serif"/>
          <w:b w:val="false"/>
          <w:color w:val="000000"/>
          <w:sz w:val="19"/>
        </w:rPr>
      </w:pPr>
      <w:r>
        <w:rPr>
          <w:rFonts w:ascii="Trade Gothic;sans-serif" w:hAnsi="Trade Gothic;sans-serif"/>
          <w:b w:val="false"/>
          <w:color w:val="000000"/>
          <w:sz w:val="19"/>
        </w:rPr>
        <w:t>Short-term investments consist of fixed income U.S. treasury securities and certificates of deposit with maturities primarily between three and twelve months. The United States Treasury securities and Certificate of Deposit investments are classified as held-to-maturity and are reported at amortized cost, plus any additional costs incurred, as of March 31, 2026 and December 31, 2025. The amortized cost and fair value of held-to-maturity securities approximated each other at March 31, 2026 and December 31, 2025.</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During the three months ended March 31, 2026 and 2025, there were no transfers between level 1, level 2 and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6. Equity Based Compensation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Stock-based compensation expense is included in the accompanying condensed statements of operations and comprehensive loss and is allocated to operating expenses based on the function of the related employee. Total stock-based compensation expense for the three months ended March 31, 2026 and 2025 was $1.7 million and $0.3 million, respectively. Of these amounts, $0.6 million and $0.1 million were recorded to research and development expenses and $1.1 million and $0.2 million were recorded to general and administrative expenses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0335"/>
                <wp:effectExtent l="0" t="0" r="0" b="0"/>
                <wp:wrapNone/>
                <wp:docPr id="13" name="Frame1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each option grant during the three months ended March 31, 2026 and 2025 was estimated on the grant date using the Black-Scholes option pricing model with the following assumptions:</w:t>
      </w:r>
    </w:p>
    <w:tbl>
      <w:tblPr>
        <w:tblW w:w="6148" w:type="dxa"/>
        <w:jc w:val="left"/>
        <w:tblInd w:w="0" w:type="dxa"/>
        <w:tblLayout w:type="fixed"/>
        <w:tblCellMar>
          <w:top w:w="28" w:type="dxa"/>
          <w:left w:w="28" w:type="dxa"/>
          <w:bottom w:w="28" w:type="dxa"/>
          <w:right w:w="28" w:type="dxa"/>
        </w:tblCellMar>
      </w:tblPr>
      <w:tblGrid>
        <w:gridCol w:w="854"/>
        <w:gridCol w:w="750"/>
        <w:gridCol w:w="751"/>
        <w:gridCol w:w="194"/>
        <w:gridCol w:w="165"/>
        <w:gridCol w:w="167"/>
        <w:gridCol w:w="143"/>
        <w:gridCol w:w="143"/>
        <w:gridCol w:w="143"/>
        <w:gridCol w:w="251"/>
        <w:gridCol w:w="227"/>
        <w:gridCol w:w="227"/>
        <w:gridCol w:w="143"/>
        <w:gridCol w:w="143"/>
        <w:gridCol w:w="143"/>
        <w:gridCol w:w="175"/>
        <w:gridCol w:w="175"/>
        <w:gridCol w:w="176"/>
        <w:gridCol w:w="143"/>
        <w:gridCol w:w="143"/>
        <w:gridCol w:w="143"/>
        <w:gridCol w:w="219"/>
        <w:gridCol w:w="219"/>
        <w:gridCol w:w="311"/>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March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volatility</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78</w:t>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Dividend yield</w:t>
            </w:r>
          </w:p>
        </w:tc>
        <w:tc>
          <w:tcPr>
            <w:tcW w:w="16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Risk free interest rates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3.87</w:t>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3.97%</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4.11</w:t>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term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w:t>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w:t>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r>
      <w:tr>
        <w:trPr/>
        <w:tc>
          <w:tcPr>
            <w:tcW w:w="2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volatility – Since the Company does not have sufficient stock price history, the expected volatility is calculated based on the average volatility for a peer group of companies in the industry and a similar stage of development in which the Company does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Dividend yield of zero – The Company has not, and does not, intend to pay, dividends.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Risk-free interest rates – The Company applies the risk-free interest rate based on the U.S. Treasury yield for the expected term of the option.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term - For employee and non-employee stock options, the Company calculated the expected term as the average of the contractual term of the option and the vesting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estimated fair value of the Company’s Common Stock was determined by the Company’s management and board of directors and considered valuation estimates from a qualified, independent third-party valuation firm.</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Stock Option Activity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summary of stock option activity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1177"/>
        <w:gridCol w:w="917"/>
        <w:gridCol w:w="920"/>
        <w:gridCol w:w="983"/>
        <w:gridCol w:w="796"/>
        <w:gridCol w:w="798"/>
        <w:gridCol w:w="109"/>
        <w:gridCol w:w="109"/>
        <w:gridCol w:w="109"/>
        <w:gridCol w:w="510"/>
        <w:gridCol w:w="1324"/>
        <w:gridCol w:w="247"/>
        <w:gridCol w:w="109"/>
        <w:gridCol w:w="109"/>
        <w:gridCol w:w="109"/>
        <w:gridCol w:w="351"/>
        <w:gridCol w:w="1283"/>
        <w:gridCol w:w="245"/>
      </w:tblGrid>
      <w:tr>
        <w:trPr/>
        <w:tc>
          <w:tcPr>
            <w:tcW w:w="117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data)</w:t>
            </w:r>
          </w:p>
        </w:tc>
        <w:tc>
          <w:tcPr>
            <w:tcW w:w="2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Shares Underlying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Intrinsic Value</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January 1, 2026</w:t>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19,279 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Granted</w:t>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1,325,644 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16.11 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Cancelled / Expired</w:t>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Exercised</w:t>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(105,717)</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0.52 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March 31, 2026</w:t>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4,625,833 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8.02 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82,770 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Vested and expected to vest at March 31, 2026</w:t>
            </w:r>
          </w:p>
        </w:tc>
        <w:tc>
          <w:tcPr>
            <w:tcW w:w="17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4,625,833 </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8.02 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82,770 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information concerning outstanding and exercisable stock options at March 31, 2026:</w:t>
      </w:r>
    </w:p>
    <w:tbl>
      <w:tblPr>
        <w:tblW w:w="10205" w:type="dxa"/>
        <w:jc w:val="left"/>
        <w:tblInd w:w="0" w:type="dxa"/>
        <w:tblLayout w:type="fixed"/>
        <w:tblCellMar>
          <w:top w:w="28" w:type="dxa"/>
          <w:left w:w="28" w:type="dxa"/>
          <w:bottom w:w="28" w:type="dxa"/>
          <w:right w:w="28" w:type="dxa"/>
        </w:tblCellMar>
      </w:tblPr>
      <w:tblGrid>
        <w:gridCol w:w="854"/>
        <w:gridCol w:w="751"/>
        <w:gridCol w:w="753"/>
        <w:gridCol w:w="563"/>
        <w:gridCol w:w="563"/>
        <w:gridCol w:w="281"/>
        <w:gridCol w:w="109"/>
        <w:gridCol w:w="109"/>
        <w:gridCol w:w="109"/>
        <w:gridCol w:w="555"/>
        <w:gridCol w:w="1439"/>
        <w:gridCol w:w="269"/>
        <w:gridCol w:w="109"/>
        <w:gridCol w:w="109"/>
        <w:gridCol w:w="109"/>
        <w:gridCol w:w="1029"/>
        <w:gridCol w:w="1029"/>
        <w:gridCol w:w="1465"/>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Remaining Contractual Life (Years)</w:t>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March 31,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4,625,833 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8.02 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9.00</w:t>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Exercisable at March 31,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860,703 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7.57</w:t>
            </w:r>
          </w:p>
        </w:tc>
      </w:tr>
      <w:tr>
        <w:trPr/>
        <w:tc>
          <w:tcPr>
            <w:tcW w:w="23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aggregate intrinsic value of exercisable options at March 31, 2026 was $20.5 million. As of March 31, 2026, unrecognized compensation cost related to non-vested options was $27.4 million, and the weighted average period over which this amount is expected to be recognized is 2.9 years. The weighted average grant date fair value of stock options granted during the three months ended March 31, 2026 and 2025 was $11.86 per share and $4.38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0335"/>
                <wp:effectExtent l="0" t="0" r="0" b="0"/>
                <wp:wrapNone/>
                <wp:docPr id="14" name="Frame1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7. Commitments and Contingencies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Concentrations of Credit Risk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Financial instruments that potentially subject the Company to concentrations of credit risk consist principally of cash equivalents and short-term investments. Management mitigates such potential risks by maintaining the Company’s cash equivalents and short-term investment balances with entities that management believes possess high-credit quality. As of March 31, 2026 and December 31, 2025, the Company had $49.0 million and $18.9 million, respectively, on deposit that was not federally-insured or insured by the Securities Investor Protection Corporation.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the Company entered into a license agreement with the Regents of the University of Colorado, which was amended in December of 2020, May of 2023 and October of 2025, under which the Company obtained an exclusive, royalty-bearing, sublicensable, worldwide license under a patent application co-owned by the University of Colorado and the Company relating to an intra-ocular drug dispenser and all patents claiming priority to such patent to develop, manufacture, and commercialize products for use in the treatment of various ophthalmic diseases. The Company has the right to grant sublicenses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required to reimburse the University of Colorado for costs incurred in applying and maintaining patents, which are recorded as a research and development expense as incurred. The Company is also required to pay the maintenance fees on an annual basis as each of the anniversary dates from the effective date. The Company expenses this annual license fee to research and development. The Company is required to make payments to the University of Colorado for contingent milestones achieved in the development and commercialization process. The future contingent milestone payments under the Agreements made prior to FDA approval (or the equivalent) are considered contingent upon future research and development outcomes and will be expensed to research and development when issuable. If milestones are achieved, the milestone payment related to FDA approval and any subsequent milestone payments will be capitalized. In addition, the Company is required to pay future royalty payments. The future royalty payments are contingent consideration and should be recorded when payment is probable and estimable. These payments will only be made if commercialization of the Licensed Product(s) is achieved. Therefore, the Company will record royalty payable if or when commercialization is completed and revenues associated with the Licensed Product are estimable and probable. Additionally, the Company must pay the University of Colorado a percentage of the sublicense income received if the Company decides to sublicense their rights to the Licensed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recorded research and development expense in the amount of $0.1 million and $0.1 million for the three months ended March 31, 2026 and 2025, respectively, under the agreement.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Legal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the Company may be involved in legal proceedings, investigations and claims generally incidental to its normal business activities. In accordance with GAAP, loss contingencies are accrued when it is probable that a liability has been incurred and the amount of the loss can be reasonably estimated. These estimates are based on an analysis made by management and external legal counsel considering information known at the time.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September 17, 2025, Glaukos Corporation (Glaukos) filed a lawsuit in the United States District Court for the Central District of California against the Company and against one of its employees (together, the Defendants) (Case No. 8:25-cv-02105) (the Complaint). Glaukos asserted two causes of action against the Company: trade secret misappropriation under the federal Defend Trade Secrets Act, and a similar claim under California’s unfair competition statute. Glaukos asserted three claims against the employee: breach of contract, fraud regarding employee exit documentation, and a violation of the Computer Fraud and Abuse Act. The Complaint requests customary remedies, including (a) a judgment that the Company misappropriated Glaukos’ trade secrets, (b) seizure of Defendants’ computers to arrange for the deletion of any of Glaukos’ trade secrets, (c) a temporary, preliminary and permanent injunction against the Defendants from the use of certain intellectual property, (d) damages, (e) attorneys’ fees, (f) interest on any foregoing sums, and (g) any relief as the court deems just and equitable, which could include future royalty payments. Although the Company believes it has meritorious defenses, vehemently denies the allegations and intends to defend the case vigorously, the outcome of this matter is inherently uncertain. Based on management’s review of the facts and circumstances currently available, the Company does not believe that a loss is probable, and no accrual has been recorded related to this matter as of March 31, 2026 and December 31,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Legal costs in connection with loss contingencies are generally expensed as incurred, net of insurance reimbursements as applicable. Insurance reimbursements related to such legal costs are recognized when realized or when recovery is probable and reasonably estimable, and are presented as a reduction of the related legal expense. Legal costs that are contingent upon the outcome of a proceeding are recognized upon resolution of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0335"/>
                <wp:effectExtent l="0" t="0" r="0" b="0"/>
                <wp:wrapNone/>
                <wp:docPr id="15" name="Frame1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Guarantees and Indemnifications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normal course of business, the Company enters into agreements that contain a variety of representations and provide for certain indemnifications. The Company’s exposure under these agreements is unknown because any such claims may be made against the Company in the future. To date, the Company has not paid any claims or been required to defend any action related to its indemnification obligations. As of March 31, 2026 and December 31, 2025, the Company does not have any material indemnification claims that were probably or reasonably possible and consequently have not recorded related liabilities.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Leases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entered into two operating lease agreements for office and lab space in Aliso Viejo, California. The Company entered into a lease termination agreement on December 1, 2023 and subsequently reinstated the lease on October 1, 2024 for a 12 month period where the Company elected the short-term lease practical expedient and expenses lease cost on a straight line basis. The Company entered into a new lease on January 1, 2024 with a noncancelable period of 90 months, an early termination option with a substantive penalty, and a five-year renewal option. The Company did not include the termination or renewal option in considering the lease term as the Company determined it was not likely to exercise the option. The lease was classified as an operating lease in accordance with the provisions of ASC 842, “Leases”, and discounted using an estimated incremental borrowing rate of 6.52%.</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November 22, 2025, the Company entered into a lease termination agreement related to its office and lab space in Aliso Viejo, California due to the necessity of additional space for operational needs. Under the terms of this agreement, the Company expects to terminate the lease no later than July 2026. Additionally, on November 22, 2025, the Company entered into a new operating lease agreement for office and lab space in Irvine, California. The new lease commenced on December 1, 2025 with a noncancelable period of 91 months, with a five-year renewal option, and no early termination option. The Company did not include the renewal option in considering the lease in accordance with the provisions of ASC 842 as the Company determined it was not likely to exercise the option, and discounted using an estimated incremental borrowing rate of 6.42%. The Company’s operating leases do not contain any significant residual value guarantees or restrictive covenants.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 balance sheet information related to the operating leases at March 31, 2026 and December 31, 2025 are as follows:</w:t>
      </w:r>
    </w:p>
    <w:tbl>
      <w:tblPr>
        <w:tblW w:w="6434" w:type="dxa"/>
        <w:jc w:val="left"/>
        <w:tblInd w:w="0" w:type="dxa"/>
        <w:tblLayout w:type="fixed"/>
        <w:tblCellMar>
          <w:top w:w="28" w:type="dxa"/>
          <w:left w:w="28" w:type="dxa"/>
          <w:bottom w:w="28" w:type="dxa"/>
          <w:right w:w="28" w:type="dxa"/>
        </w:tblCellMar>
      </w:tblPr>
      <w:tblGrid>
        <w:gridCol w:w="1049"/>
        <w:gridCol w:w="920"/>
        <w:gridCol w:w="925"/>
        <w:gridCol w:w="342"/>
        <w:gridCol w:w="1068"/>
        <w:gridCol w:w="165"/>
        <w:gridCol w:w="409"/>
        <w:gridCol w:w="1278"/>
        <w:gridCol w:w="278"/>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1,552 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current</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non-current</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1,582 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components of operating lease expense for the three months ended March 31, 2026 and 2025 were as follows:</w:t>
      </w:r>
    </w:p>
    <w:tbl>
      <w:tblPr>
        <w:tblW w:w="8308" w:type="dxa"/>
        <w:jc w:val="left"/>
        <w:tblInd w:w="0" w:type="dxa"/>
        <w:tblLayout w:type="fixed"/>
        <w:tblCellMar>
          <w:top w:w="28" w:type="dxa"/>
          <w:left w:w="28" w:type="dxa"/>
          <w:bottom w:w="28" w:type="dxa"/>
          <w:right w:w="28" w:type="dxa"/>
        </w:tblCellMar>
      </w:tblPr>
      <w:tblGrid>
        <w:gridCol w:w="1724"/>
        <w:gridCol w:w="1514"/>
        <w:gridCol w:w="1532"/>
        <w:gridCol w:w="479"/>
        <w:gridCol w:w="864"/>
        <w:gridCol w:w="231"/>
        <w:gridCol w:w="115"/>
        <w:gridCol w:w="115"/>
        <w:gridCol w:w="115"/>
        <w:gridCol w:w="403"/>
        <w:gridCol w:w="942"/>
        <w:gridCol w:w="274"/>
      </w:tblGrid>
      <w:tr>
        <w:trPr/>
        <w:tc>
          <w:tcPr>
            <w:tcW w:w="172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lease cost (net of lease modification)</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and variable lease cost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Variable lease costs were immaterial for the three months ended March 31, 2026 and 2025. Rent expense for the three months ended March 31, 2026 and 2025 was $0.1 million and $0.2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0335"/>
                <wp:effectExtent l="0" t="0" r="0" b="0"/>
                <wp:wrapNone/>
                <wp:docPr id="16" name="Frame1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Supplemental cash flows information related to leases for the three months ended March 31, 2026 and 2025 were as follows:</w:t>
      </w:r>
    </w:p>
    <w:tbl>
      <w:tblPr>
        <w:tblW w:w="10205" w:type="dxa"/>
        <w:jc w:val="left"/>
        <w:tblInd w:w="0" w:type="dxa"/>
        <w:tblLayout w:type="fixed"/>
        <w:tblCellMar>
          <w:top w:w="28" w:type="dxa"/>
          <w:left w:w="28" w:type="dxa"/>
          <w:bottom w:w="28" w:type="dxa"/>
          <w:right w:w="28" w:type="dxa"/>
        </w:tblCellMar>
      </w:tblPr>
      <w:tblGrid>
        <w:gridCol w:w="2609"/>
        <w:gridCol w:w="2289"/>
        <w:gridCol w:w="2308"/>
        <w:gridCol w:w="447"/>
        <w:gridCol w:w="804"/>
        <w:gridCol w:w="215"/>
        <w:gridCol w:w="381"/>
        <w:gridCol w:w="888"/>
        <w:gridCol w:w="264"/>
      </w:tblGrid>
      <w:tr>
        <w:trPr/>
        <w:tc>
          <w:tcPr>
            <w:tcW w:w="26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w:t>
            </w:r>
          </w:p>
        </w:tc>
      </w:tr>
      <w:tr>
        <w:trPr/>
        <w:tc>
          <w:tcPr>
            <w:tcW w:w="7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2026</w:t>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March 31, 2025</w:t>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Cash paid for amounts included in the measurement of operating lease liabilities</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 in exchange for lease liability</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remaining lease term (years)</w:t>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7.25</w:t>
            </w:r>
          </w:p>
        </w:tc>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6.25</w:t>
            </w:r>
          </w:p>
        </w:tc>
      </w:tr>
      <w:tr>
        <w:trPr/>
        <w:tc>
          <w:tcPr>
            <w:tcW w:w="7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discount rate</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6.42%</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6.52%</w:t>
            </w:r>
          </w:p>
        </w:tc>
      </w:tr>
      <w:tr>
        <w:trPr/>
        <w:tc>
          <w:tcPr>
            <w:tcW w:w="7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8. Income Taxes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 provision for income taxes primarily relates to projected federal and state income taxes calculated on the projected taxable income for the period. To determine the quarterly provision for income taxes, the Company uses an estimated annual effective tax rate, which is generally based on expected annual income as well as statutory tax rates in the various jurisdictions in which the Company operates. In addition, the tax effects of certain significant or unusual items are recognized discretely in the quarter during which they occur and can be a source of variability in the effective tax rates from quarter to quarter.</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As per ASC 740-270, the Company’s interim tax provision is computed based on the estimated annual effective tax rate approach. The estimated annual effective tax rate approach is used to determine the tax related to ordinary income unless certain exceptions apply. The Company records a valuation allowance to reduce its deferred taxes to the amount it believes is more likely than not to be realized. In making such determination, the Company considers all available positive and negative evidence quarterly,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Based upon the Company’s review of all positive and negative evidence, the Company continues to have a full valuation allowance on its deferred tax assets as of March 31, 2026.</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 Company accounts for the uncertainty in income taxes by utilizing a comprehensive model for the recognition, measurement, presentation and disclosure in condensed financial statements of any uncertain tax positions that have been taken or are expected to be taken on an income tax return. Additionally, the Company recognizes the tax benefit from an uncertain tax position only if it is more likely than not that the tax position will be sustained on examination by the taxing authorities based on the technical merits of the position. The tax benefit recognized in the condensed financial statements for a particular tax position is based on the largest benefit that is more likely than not to be realized upon settlement. Accordingly, the Company establishes reserves for uncertain tax positions.</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There was no income tax provision for each of the three months ended March 31, 2026 and 2025. The effective tax rate was 0% for each of the three months ended March 31, 2026 and 2025, and differs from the statutory federal income tax rate due to the deferred tax assets being subject to a full valuation allowance.</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July 4, 2025, the “One Big, Beautiful Bill Act” (OBBBA) was signed into federal law. The OBBBA included multiple provisions applicable to U.S. income tax for businesses, including bonus depreciation for qualified tangible property, immediate expensing of research expenditures, and updates to the calculation of disallowed interest. The legislation has multiple effective dates, with certain provisions effective in 2025 and others to be implemented through 2027. The OBBBA provisions have an immaterial effect on the Company’s estimated annual effective tax rate and the condensed financial statements due to the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9. Related Party Transactions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Dr. Malik Y. Kahook, the Company’s co-founder, board chair, and chief medical officer, is a party to a services agreement with the Company and the University of Colorado Medicine, pursuant to which he provides services to the Company in connection with the responsibilities associated with his positions. Such service expenses are recorded within general and administrative operating expenses given the executive management and corporate governance related nature of Dr. Kahook’s positions. In conjunction with this agreement, the Company paid the University of Colorado Medicine $0.1 million and $0.1 million during the three months ended March 31, 2026 and 2025, respectively. The terms of the services agreement, which automatically renews each year, were approved by the Company’s board of directors. $43,005 and $24,995 was payable to the University of Colorado Medicine under this agreement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0335"/>
                <wp:effectExtent l="0" t="0" r="0" b="0"/>
                <wp:wrapNone/>
                <wp:docPr id="17" name="Frame1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10. Defined Contribution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a defined contribution savings plan under Section 401(k) of the Internal Revenue Code. The plan covers substantially all employees who meet minimum age and eligibility requirements and allows participants to defer a portion of their annual compensation on a pretax and/or after-tax basis. Company contributions to the plan may be made at the discretion of the Company’s board of directors. There were no contributions made by the Company during each of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11. Segment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operates as a single reportable and single operating segment in the development of the treatment paradigm for patients living with chronic eye conditions through long-acting, sustained drug delivery of approved medicines. The Company has not generated revenues since inception. The Company’s chief operating decision maker (CODM) is its chief executive officer. The CODM reviews financial information on a basis consistent with the information presented in the condensed financial statements for purposes of making operating decisions, allocating resources, and evaluating financial performance. The Company’s CODM uses operating loss as the measure to evaluate the segment’s operating performance and to monitor budgeted to actual expenditures associated with capital projects. The measure of segment assets is reported on the Company’s condensed balance sheets as total assets.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During the current period, the Company modified its internal reporting structure and the information provided to its CODM. As a result, the CODM does not review or utilize more disaggregated expense information for purposes of assessing segment performance or allocating resources. Accordingly, disaggregated expense information previously presented is no longer provided, and the Company has not presented additional disaggregated expense information for its reportable single operating segment beyond the expense categories presented in the condensed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12. Net Loss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the computation of basic and diluted net loss per share of common stock. Diluted net loss per share considers the more dilutive of the two-class method and if-converted method. The Company’s potentially dilutive securities have been excluded from the computation of diluted net loss per share as the effect would be to reduce the net loss per share. Therefore, the weighted average number of shares of common stock outstanding used to calculate both basic and diluted net loss per share is the same.</w:t>
      </w:r>
    </w:p>
    <w:tbl>
      <w:tblPr>
        <w:tblW w:w="8622" w:type="dxa"/>
        <w:jc w:val="left"/>
        <w:tblInd w:w="0" w:type="dxa"/>
        <w:tblLayout w:type="fixed"/>
        <w:tblCellMar>
          <w:top w:w="28" w:type="dxa"/>
          <w:left w:w="28" w:type="dxa"/>
          <w:bottom w:w="28" w:type="dxa"/>
          <w:right w:w="28" w:type="dxa"/>
        </w:tblCellMar>
      </w:tblPr>
      <w:tblGrid>
        <w:gridCol w:w="2009"/>
        <w:gridCol w:w="1768"/>
        <w:gridCol w:w="1773"/>
        <w:gridCol w:w="252"/>
        <w:gridCol w:w="1023"/>
        <w:gridCol w:w="121"/>
        <w:gridCol w:w="121"/>
        <w:gridCol w:w="121"/>
        <w:gridCol w:w="121"/>
        <w:gridCol w:w="252"/>
        <w:gridCol w:w="889"/>
        <w:gridCol w:w="172"/>
      </w:tblGrid>
      <w:tr>
        <w:trPr/>
        <w:tc>
          <w:tcPr>
            <w:tcW w:w="20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March 31,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data)</w:t>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and diluted weighted-average shares outstanding</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19,927,848 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2,229,637 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and diluted net loss per share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31, 2026, the Company’s stock-based compensation awards could have the most significant impact on diluted shares should the instruments represent dilutive instruments. However, securities that could potentially be dilutive are excluded from the computation of diluted earnings per share when a loss from continuing operations exists or when the exercise price of stock options exceeds the average closing price of the Company’s shares of common stock during the period, because their inclusion would result in an anti-dilutive effect on the per share amounts.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amounts were not included in the calculation of net loss per diluted share for the periods presented because their effects were anti-dilutive:</w:t>
      </w:r>
    </w:p>
    <w:tbl>
      <w:tblPr>
        <w:tblW w:w="8186" w:type="dxa"/>
        <w:jc w:val="left"/>
        <w:tblInd w:w="0" w:type="dxa"/>
        <w:tblLayout w:type="fixed"/>
        <w:tblCellMar>
          <w:top w:w="28" w:type="dxa"/>
          <w:left w:w="28" w:type="dxa"/>
          <w:bottom w:w="28" w:type="dxa"/>
          <w:right w:w="28" w:type="dxa"/>
        </w:tblCellMar>
      </w:tblPr>
      <w:tblGrid>
        <w:gridCol w:w="1463"/>
        <w:gridCol w:w="1292"/>
        <w:gridCol w:w="1294"/>
        <w:gridCol w:w="769"/>
        <w:gridCol w:w="357"/>
        <w:gridCol w:w="326"/>
        <w:gridCol w:w="326"/>
        <w:gridCol w:w="326"/>
        <w:gridCol w:w="326"/>
        <w:gridCol w:w="850"/>
        <w:gridCol w:w="396"/>
        <w:gridCol w:w="461"/>
      </w:tblGrid>
      <w:tr>
        <w:trPr/>
        <w:tc>
          <w:tcPr>
            <w:tcW w:w="14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March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4,625,833 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1,556,748 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14,542,503 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4,625,833 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16,099,251 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0335"/>
                <wp:effectExtent l="0" t="0" r="0" b="0"/>
                <wp:wrapNone/>
                <wp:docPr id="18" name="Frame1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pPr>
      <w:bookmarkStart w:id="7" w:name="i3c7cd8d1dbe640b3a98916a6636db051_1543"/>
      <w:bookmarkEnd w:id="7"/>
      <w:r>
        <w:rPr>
          <w:rFonts w:ascii="Trade Gothic;sans-serif" w:hAnsi="Trade Gothic;sans-serif"/>
          <w:b/>
          <w:color w:val="000000"/>
          <w:sz w:val="20"/>
        </w:rPr>
        <w:t xml:space="preserve">Item 2. </w:t>
      </w:r>
      <w:hyperlink w:anchor="ifaf54775e85441fc836f60bc7c4f1464_40">
        <w:r>
          <w:rPr>
            <w:rStyle w:val="InternetLink"/>
            <w:rFonts w:ascii="Trade Gothic;sans-serif" w:hAnsi="Trade Gothic;sans-serif"/>
            <w:b/>
            <w:strike w:val="false"/>
            <w:dstrike w:val="false"/>
            <w:color w:val="000000"/>
            <w:sz w:val="20"/>
            <w:u w:val="none"/>
            <w:effect w:val="none"/>
          </w:rPr>
          <w:t>Management's Discussion and Analysis of Financial Condition and Results of Operations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The following management’s discussion and analysis of financial condition and results of operations should be read in conjunction with our unaudited condensed financial statements and the related notes to those statements and other financial information included elsewhere in this Quarterly Report. Our historical results are not necessarily indicative of the results that may be expected for any period in the future.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“Risk Factors” section contained in Part II, Item 1A of this Quarterly Report. Please also see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Overview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dedicated to transforming the treatment paradigm for patients living with chronic eye conditions through long-acting, sustained drug delivery of approved medicines. Our mission is to significantly improve the lives of patients with chronic eye conditions by developing durable drug delivery solutions that can empower patients and surgeons with confidence in long-term disease control and vision preservation.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Bimatoprost Drug Pad-IOL System (BIM-IOL System), comprising novel, proprietary drug pads attached to our intraocular lens (IOL), is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(PGA) approved for topical use by the U.S. Food &amp; Drug Administration (FDA) in 2001 for the reduction of elevated IOP in patients with OAG or OHT. We are also developing a non-IOL-based, ring-shaped, sustained-release implant with bimatoprost, which we believe could be implanted in a standalone procedure, enable retreatment of patients who have received the BIM-IOL System, and offer extended care to patients with OAG or OHT who already received a prior cataract surgery (these patients who have had their IOLs replaced with artificial IOLs are referred to as pseudophakes or pseudophakic patients).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our first-in-human (FIH) feasibility clinical trial, evaluable patients who received the BIM-IOL System achieved a mean IOP reduction of 37% at 36 months with no product-related adverse events (AEs). 95% of evaluable patients were off all topical IOP-lowering drops at 36 months, which we believe highlights the potential for long-term independence from such medications. In our Phase 1/2 multicenter, randomized, controlled trial, which is evaluating the safety and efficacy of the BIM-IOL System, patients who received the BIM-IOL System in the 78 mcg and 39 mcg dose groups achieved mean IOP reductions of 37% and 36%, respectively, at three months and sustained similar rates of mean IOP reduction at twelve months. 97% of treated patients were off topical IOP-lowering drops at three and twelve months, and the BIM-IOL System was observed to be well tolerated at both three and twelve months. In July 2025, we initiated two registrational Phase 3 trials with our intended commercial dose of 78 mcg, each expected to enroll approximately 400 patients across 45 sites. We expect to complete enrollment in 2027 and, pending successful Phase 3 results, we plan to submit a 505(b)(2) New Drug Application (NDA) to the FDA in 2028. There is no guarantee that our trials will produce positive results or be consistent with past trial results, and FDA approval is not guaranteed and the regulatory process may take longer than anticipated.</w:t>
      </w:r>
    </w:p>
    <w:p>
      <w:pPr>
        <w:pStyle w:val="TextBody"/>
        <w:bidi w:val="0"/>
        <w:spacing w:lineRule="auto" w:line="288" w:before="0" w:after="240"/>
        <w:jc w:val="left"/>
        <w:rPr/>
      </w:pPr>
      <w:r>
        <w:rPr>
          <w:rFonts w:ascii="Trade Gothic;sans-serif" w:hAnsi="Trade Gothic;sans-serif"/>
          <w:b w:val="false"/>
          <w:color w:val="000000"/>
          <w:sz w:val="19"/>
        </w:rPr>
        <w:t>The BIM-IOL System is designed to address key limitations of current glaucoma care by enabling all cataract surgeons, not just those trained in minimally invasive glaucoma surgery, or MIGS, to treat elevated IOP when performing their routine cataract procedures, thereby reducing the reliance on patient adherence to topical medications in managing IOP. The BIM-IOL System is designed for long-acting, sustained delivery of bimatoprost over three years, which we believe can reduce or eliminate the need for daily topical medications. In addition, we believe our BIM-IOL System has the potential to triple the number of cataract surgeons who treat OAG or OHT routinely at the time of cataract surgery by providing a solution that seamlessly integrates into the existing procedural workflow. This integration of therapy at the time of cataract surgery – one of the most frequently performed outpatient procedures in ambulatory surgery centers in the United States–</w:t>
      </w:r>
      <w:r>
        <w:rPr>
          <w:rFonts w:ascii="Trade Gothic;sans-serif" w:hAnsi="Trade Gothic;sans-serif"/>
          <w:b w:val="false"/>
          <w:color w:val="000000"/>
          <w:sz w:val="12"/>
        </w:rPr>
        <w:t>1</w:t>
      </w:r>
      <w:r>
        <w:rPr>
          <w:color w:val="000000"/>
        </w:rPr>
        <w:t>–</w:t>
      </w:r>
      <w:r>
        <w:rPr>
          <w:rFonts w:ascii="Trade Gothic;sans-serif" w:hAnsi="Trade Gothic;sans-serif"/>
          <w:b w:val="false"/>
          <w:color w:val="000000"/>
          <w:sz w:val="19"/>
        </w:rPr>
        <w:t>can also save patients from having to make additional appointments with glaucoma specialists.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Since our inception, we have devoted substantially all of our resources to the research and development of our product candidates by conducting clinical trials and preclinical studies, building our novel drug delivery technology (the SpyGlass Platform), and recruiting management and technical staff to support these operations.</w:t>
      </w:r>
    </w:p>
    <w:p>
      <w:pPr>
        <w:pStyle w:val="TextBody"/>
        <w:bidi w:val="0"/>
        <w:spacing w:lineRule="auto" w:line="288" w:before="0" w:after="0"/>
        <w:jc w:val="left"/>
        <w:rPr/>
      </w:pPr>
      <w:r>
        <w:rPr>
          <w:rFonts w:ascii="Trade Gothic;sans-serif" w:hAnsi="Trade Gothic;sans-serif"/>
          <w:b w:val="false"/>
          <w:color w:val="000000"/>
          <w:sz w:val="11"/>
        </w:rPr>
        <w:t>1</w:t>
      </w:r>
      <w:r>
        <w:rPr>
          <w:color w:val="000000"/>
        </w:rPr>
        <w:t xml:space="preserve">     </w:t>
      </w:r>
      <w:r>
        <w:rPr>
          <w:rFonts w:ascii="Trade Gothic;sans-serif" w:hAnsi="Trade Gothic;sans-serif"/>
          <w:b w:val="false"/>
          <w:color w:val="000000"/>
          <w:sz w:val="17"/>
        </w:rPr>
        <w:t>Based on 2025 data taken from DefinitiveHealthcare.com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0335"/>
                <wp:effectExtent l="0" t="0" r="0" b="0"/>
                <wp:wrapNone/>
                <wp:docPr id="19" name="Frame1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initial public offering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not generated any revenue from product sales and we have incurred recurring losses since our inception. Our net losses were $13.8 million and $8.8 million for the three months ended March 31, 2026 and 2025, respectively. As of March 31, 2026, we had an accumulated deficit of $118.5 million. We anticipate that our operating expenses and capital expenditures will increase substantially with our ongoing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not generate any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developing our internal commercialization capability to support product sales, marketing, and distribution. 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31, 2026, we had cash and cash equivalents and short-term investments of $251.0 million. We believe that the net proceeds from our IPO, together with our existing cash and cash equivalents and short-term investments at March 31, 2026, will be sufficient to fund our operating expenses and capital expenditure requirements through 2028. See “Liquidity and Capital Resources.”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Key Trends and Factors Affecting Comparability Between Periods</w:t>
      </w:r>
    </w:p>
    <w:p>
      <w:pPr>
        <w:pStyle w:val="TextBody"/>
        <w:bidi w:val="0"/>
        <w:spacing w:lineRule="auto" w:line="26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built out, and are continuing to build out, our research and development team, and our research and development costs increased in 2026, relative to 2025, and we expect our research and development costs to continue to increase in 2026, relative to 2025, as a result of significant expenses related to the continued enrollment in our Phase 3 trials. See Part I, Item I (Business) of our Annual Report on Form 10-K for the year ended December 31, 2025 for more information about the Phase 1/2 and Phase 3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expect that general and administrative costs will increase in the future as we expand our operating activities.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 a public company, our expenses will increase from prior years as a privately held company, including (i) costs to comply with the rules and regulations of the U.S. Securities and Exchange Commission (SEC) and those of The Nasdaq Stock Market (Nasdaq), (ii) legal, accounting and other professional services, (iii) directors and officers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2020, we entered into a license agreement (as amended, the License Agreement) with the Regents of the University of Colorado (CU), pursuant to which we obtained an exclusive, royalty-bearing, sublicensable, worldwide license under a patent application co-owned by CU and us relating to an intraocular drug dispenser and all patents claiming priority to such patent to develop, manufacture, and commercialize products for use in the treatment of various ophthalmic diseases. We have the right to grant sublicenses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0335"/>
                <wp:effectExtent l="0" t="0" r="0" b="0"/>
                <wp:wrapNone/>
                <wp:docPr id="20" name="Frame2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consideration for the rights granted by the License Agreement, we paid a one-time, non-refundable $0.1 million license fee in conjunction with the second amendment to the License Agreement on March 22, 2023, which was recorded as a research and development expense. We are also required to reimburse CU for costs incurred in applying and maintaining patents, which are recorded as research and development expense as incurred.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required to pay to CU an annual fee of $0.1 million, which is expensed to research and development. We are also required to pay to CU certain contingent milestone payments of up to $1.1 million for each of the first two licensed products under the License Agreement that achieve certain development and commercialization milestones. The future contingent payments required to be made prior to FDA approval (or equivalent) are considered contingent upon future research and development outcomes and will be expensed to research and development when issuable. If milestones are achieved, the milestone related to FDA approval and any subsequent milestone payments will be capitalized. In addition, upon commercialization of a licensed product as contemplated by the License Agreement, we will be required to pay low single digit royalty payments to CU (as provided in the License Agreement), subject to customary restrictions, which payments are considered contingent consideration and should be recorded when probable or estimable; we will also be required to pay to CU a percentage in the mid-twenties of any sublicense income.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 more detailed description of the License Agreement, see the section titled “Exclusive License Agreement with the Regents of the University of Colorado” in Part I, Item 1 (Business)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balance sheets and statements of operations and comprehensive loss presented herein. The following discussion and analysis are based on our unaudited condensed financial statements contained in this Quarterly Report, which we have prepared in accordance with U.S. generally accepted accounting principles (GAAP). You should read the discussion and analysis together with such unaudited condensed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Components of Statements of Operations and Comprehensive Loss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Operating Expenses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research and development activities; (ii) third-party contract costs relating to research, formulation, manufacturing, nonclinical studies and clinical trial activities; (iii) external costs of outside consultants who assist with technology development, regulatory affairs, clinical development and quality assurance; and (iv) allocated facility-related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general and administrative expenses will increase in the future as we expand our operating activities. Additionally, we expect to incur significant additional expenses associated with being a public company that we did not incur as a privately-held company, including (i) costs to comply with the rules and regulations of the SEC and those of Nasdaq, (ii) legal, accounting and other professional services, (iii) directors and officers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determined the right of investors to purchase shares of Series C-2 redeemable convertible preferred stock at a future date met the definition of a freestanding instrument as the instrument is legally detachable and separately exercisable (the “Redeemable Convertible Preferred Stock Tranche Liability”) from the concurrently issued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0335"/>
                <wp:effectExtent l="0" t="0" r="0" b="0"/>
                <wp:wrapNone/>
                <wp:docPr id="21" name="Frame2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Series C-1 redeemable convertible preferred stock. The Redeemable Convertible Preferred Stock Tranche Liability was subject to remeasurement at each balance sheet date, with changes in fair value recognized in other income (expenses) in the statement of operations and comprehensive loss. Upon the closing of the Series C-2 redeemable convertible preferred stock tranche financing in March 2025, the Redeemable Convertible Preferred Stock Tranche Liability was settled.</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(expense) consists of interest income earned on cash and cash equivalents and short-term investments income and changes in fair value to the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Results of Operations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Comparison of the Three Months Ended March 31, 2026 and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presents the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781"/>
        <w:gridCol w:w="1164"/>
        <w:gridCol w:w="1153"/>
        <w:gridCol w:w="259"/>
        <w:gridCol w:w="1005"/>
        <w:gridCol w:w="124"/>
        <w:gridCol w:w="124"/>
        <w:gridCol w:w="124"/>
        <w:gridCol w:w="124"/>
        <w:gridCol w:w="259"/>
        <w:gridCol w:w="867"/>
        <w:gridCol w:w="124"/>
        <w:gridCol w:w="109"/>
        <w:gridCol w:w="109"/>
        <w:gridCol w:w="109"/>
        <w:gridCol w:w="226"/>
        <w:gridCol w:w="749"/>
        <w:gridCol w:w="109"/>
        <w:gridCol w:w="109"/>
        <w:gridCol w:w="109"/>
        <w:gridCol w:w="109"/>
        <w:gridCol w:w="353"/>
        <w:gridCol w:w="353"/>
        <w:gridCol w:w="653"/>
      </w:tblGrid>
      <w:tr>
        <w:trPr/>
        <w:tc>
          <w:tcPr>
            <w:tcW w:w="178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For the 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 Change</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Research and development</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8,542 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6,052 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41 </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General and administrative</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6,867 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401 </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operating expenses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15,409 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7,423 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Loss from operations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(15,409)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(7,423)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Interest income</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1,163 </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(100)</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other income (expense)</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(1,400)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(214)</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19"/>
              </w:rPr>
            </w:pPr>
            <w:r>
              <w:rPr>
                <w:rFonts w:ascii="Trade Gothic;sans-serif" w:hAnsi="Trade Gothic;sans-serif"/>
                <w:b/>
                <w:color w:val="000000"/>
                <w:sz w:val="19"/>
              </w:rPr>
              <w:t>Loss before income tax</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57 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N/M</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19"/>
              </w:rPr>
            </w:pPr>
            <w:r>
              <w:rPr>
                <w:rFonts w:ascii="Trade Gothic;sans-serif" w:hAnsi="Trade Gothic;sans-serif"/>
                <w:b/>
                <w:color w:val="000000"/>
                <w:sz w:val="19"/>
              </w:rPr>
              <w:t>Net loss and comprehensive loss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57 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were $8.5 million for the three months ended March 31, 2026, an increase of $2.4 million, or 41%, from $6.1 million for the three months ended March 31, 2025. As it relates to the BIM-IOL system, there was an increase of $0.9 million in IOL and drug supply offset by a decrease of $0.9 million in contract research expenses related to the FIH feasibility, Phase 1/2, and Phase 3 clinical trials. An additional $2.4 million increase was due to headcount and related expenses. Expenditures related to our BIM-IOL program represented substantially all of our research and development expenses during the periods presented.</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were $6.9 million for the three months ended March 31, 2026, an increase of $5.5 million, or 401%, from $1.4 million for the three months ended March 31, 2025. The increase was primarily driven by a $1.8 million increase in headcount and related headcount expenses, inclusive of facility and travel expenses, and a $3.7 million increase in legal and other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net was $1.6 million for the three months ended March 31, 2026, an increase of $3.0 million, or (214)%, from $1.4 million in other expenses, net for the three months ended March 31, 2025. The increase was primarily driven by a $1.5 million increase in interest from our cash and cash equivalents and short-term investments and a $1.5 million decrease in loss in the change in fair value of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0335"/>
                <wp:effectExtent l="0" t="0" r="0" b="0"/>
                <wp:wrapNone/>
                <wp:docPr id="22" name="Frame2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Liquidity and Capital Resources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incurred net losses in each year since inception and, as of March 31, 2026, we had an accumulated deficit of $118.5 million. Our net losses were $13.8 million and $8.8 million for the three months ended March 31, 2026 and 2025, respectively. These losses have resulted principally from costs incurred in connection with research and development of our product candidates by conducting preclinical studies and clinical trials, building the SpyGlass Platform, and recruiting management and technical staff to support these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before="0" w:after="0"/>
        <w:jc w:val="left"/>
        <w:rPr/>
      </w:pPr>
      <w:r>
        <w:rPr/>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incur significant and increasing expenses and operating losses for the foreseeable future due to the cost of research and development, regulatory prosecution for our product candidates, and building our commercial infrastructure, if products are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inception through March 31, 2026, we have received funding gross proceeds of $0.7 million from our initial seed financing, $6.0 million from the sale of Series A redeemable convertible preferred stock, $27.5 million from the sale of Series B redeemable convertible preferred stock, $40.0 million from the sale of Series C-1 redeemable convertible preferred stock, $50.0 million from the sale of Series C-2 redeemable convertible preferred stock, $77.3 million from the sale of Series D redeemable convertible preferred stock, and $172.5 million from the sale of common stock in our IPO.</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Cash Flows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our cash flows for the periods presented:</w:t>
      </w:r>
    </w:p>
    <w:tbl>
      <w:tblPr>
        <w:tblW w:w="8035" w:type="dxa"/>
        <w:jc w:val="left"/>
        <w:tblInd w:w="0" w:type="dxa"/>
        <w:tblLayout w:type="fixed"/>
        <w:tblCellMar>
          <w:top w:w="28" w:type="dxa"/>
          <w:left w:w="28" w:type="dxa"/>
          <w:bottom w:w="28" w:type="dxa"/>
          <w:right w:w="28" w:type="dxa"/>
        </w:tblCellMar>
      </w:tblPr>
      <w:tblGrid>
        <w:gridCol w:w="1533"/>
        <w:gridCol w:w="1345"/>
        <w:gridCol w:w="1351"/>
        <w:gridCol w:w="302"/>
        <w:gridCol w:w="1317"/>
        <w:gridCol w:w="136"/>
        <w:gridCol w:w="136"/>
        <w:gridCol w:w="136"/>
        <w:gridCol w:w="136"/>
        <w:gridCol w:w="302"/>
        <w:gridCol w:w="1148"/>
        <w:gridCol w:w="193"/>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Three Months Ended March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(used in) provided by:</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activities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(13,544)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(8,201)</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Investing activities</w:t>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(164)</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Financing activities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157,755 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50,096 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increase in cash and cash equivalents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142,544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41,731</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Operating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net cash used in operating activities primarily results from our net loss adjusted for non-cash expenses, changes in working capital components, amounts due to contract research organizations and clinical sites to conduct our clinical programs, manufacturing of drug product and employee-related expenditures for research and development and general and administrative activities. Our cash flows from operating activities will continue to be affected by spending to develop and pursue regulatory approval for our product candidates and commercialization activities, if approval is obtained. Our cash flows will also be affected by other operating and general administrative activities, including operating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three months ended March 31, 2026, cash used in operating activities was $13.5 million and resulted from our net loss of $13.8 million, offset by adjustments to reconcile net loss to cash and changes in assets and liabilities of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0335"/>
                <wp:effectExtent l="0" t="0" r="0" b="0"/>
                <wp:wrapNone/>
                <wp:docPr id="23" name="Frame2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three months ended March 31, 2025, cash used in operating activities was $8.2 million and resulted from our net loss of $8.8 million, offset by adjustments to reconcile net loss to cash and changes in assets and liabilities of $0.6 million.</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Investing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used in investing activities for the three months ended March 31, 2026 was $1.7 million and primarily related to the purchase of $4.0 million of short-term investments and $0.7 million of property and equipment, offset by the redemption of $3.0 million of short-term investments.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used in investing activities for the three months ended March 31, 2025 was $0.2 million and primarily related to the purchase of $0.2 million of property and equipment.</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Provided by Financing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three months ended March 31, 2026 was $157.8 million and primarily related to $157.7 million in net cash proceeds from our IPO and proceeds of $0.1 million from the exercise of stock options.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three months ended March 31, 2025 was $50.1 million and primarily related to $50.0 million in net cash proceeds from the sale of our Series C-2 redeemable convertible preferred stock and $0.1 million from the exercise of stock options.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Future Funding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the net proceeds from our IPO, together with our existing cash and cash equivalents and short-term investments at March 31, 2026, will be sufficient to fund our operating expenses and capital expenditure requirements through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expend our capital resources sooner than we currently expect.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operating as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Until such time as we can generate significant revenue from sales of our product candidates, if ever,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may be diluted, and the terms of these securities may include liquidation or other preferences and anti-dilution protections that could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0335"/>
                <wp:effectExtent l="0" t="0" r="0" b="0"/>
                <wp:wrapNone/>
                <wp:docPr id="24" name="Frame2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rights of our common stockholders. Debt financing and equity financing, if available, may involve agreements that include covenants limiting or restricting our ability to take specific actions, such as incurring additional debt, making capital expenditures or declaring dividends, which could adversely impact our ability to conduct our business, and may require the issuance of warrants, which could potentially dilute the ownership interests of our stockholders. If we raise funds through collaborations, or other similar arrangements with third parties, we may have to relinquish valuable rights to our technologies, future revenue streams, research programs, or product candidates or may have to grant licenses on terms that may not be favorable to us and/or may reduce the value of our common stock.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Material Cash Requirements from Contractual Obligations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entered into two leases for 22,592 square feet of office and lab space in Aliso Viejo, California pursuant to a lease that expires not later than July 31, 2026. We have entered into a lease for a new headquarters in Irvine, California consisting of approximately 32,621 rentable square feet of office and laboratory space for a term of approximately 84 months commencing on July 1, 2026. See “Note 7 - Commitments and Contingencies” to our financial statements included in our Annual Report on Form 10-K for the year ended December 31, 2025 for details related to future lease payments.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“Overview — University of Colorado License Agreement” above for a description of the License Agreement and our obligations thereunder.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we have contracts with various organizations to conduct research and development activities, including clinical trial organizations to manage clinical trial activities and manufacturing companies to manufacture the drug product used in the clinical trials. We can modify the scope of the services under these research and development contracts and cancel these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Critical Accounting Estimates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 discussion of our critical accounting policies and estimates, see Part II, Item 7, “Management's Discussion and Analysis of Financial Condition and Results of Operations - Critical Accounting Estimates,” in our Annual Report on Form 10-K for the year ended December 31, 2025. There have been no material changes to the critical accounting policies and estimates previously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Recent Accounting Pronouncements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“Note 2 - Summary of Significant Accounting Policies” to our unaudited condensed financial statements included elsewhere in this Quarterly Report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Emerging Growth Company and Smaller Reporting Company Status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an emerging growth company, as defined in the JOBS Act, and we may remain an emerging growth company for up to five years following the closing of our IPO. For so long as we remain an emerging growth company, we are permitted and intend to rely on certain exemptions from various public company disclosure and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0335"/>
                <wp:effectExtent l="0" t="0" r="0" b="0"/>
                <wp:wrapNone/>
                <wp:docPr id="25" name="Frame2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JOBS Act, emerging growth companies can delay adopting new or revised accounting standards issued subsequent to the enactment of the JOBS Act until such time as those standards apply to private companies. We may take advantage of these provisions so long as we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also a “smaller reporting company.”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8" w:name="ifbdbcd37c16d4b779908ba97fc01e9b0_728"/>
      <w:bookmarkEnd w:id="8"/>
      <w:r>
        <w:rPr>
          <w:rFonts w:ascii="Trade Gothic;sans-serif" w:hAnsi="Trade Gothic;sans-serif"/>
          <w:b/>
          <w:color w:val="000000"/>
          <w:sz w:val="20"/>
        </w:rPr>
        <w:t xml:space="preserve">Item 3. </w:t>
      </w:r>
      <w:hyperlink w:anchor="ifaf54775e85441fc836f60bc7c4f1464_70">
        <w:r>
          <w:rPr>
            <w:rStyle w:val="InternetLink"/>
            <w:rFonts w:ascii="Trade Gothic;sans-serif" w:hAnsi="Trade Gothic;sans-serif"/>
            <w:b/>
            <w:strike w:val="false"/>
            <w:dstrike w:val="false"/>
            <w:color w:val="000000"/>
            <w:sz w:val="20"/>
            <w:u w:val="none"/>
            <w:effect w:val="none"/>
          </w:rPr>
          <w:t>Quantitative and Qualitative Disclosures About Market Risk</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 smaller reporting company, as defined by Rule 12b-2 under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9" w:name="i87a57abdce734c118e96a1a582a4bd97_21016"/>
      <w:bookmarkEnd w:id="9"/>
      <w:r>
        <w:rPr>
          <w:rFonts w:ascii="Trade Gothic;sans-serif" w:hAnsi="Trade Gothic;sans-serif"/>
          <w:b/>
          <w:color w:val="000000"/>
          <w:sz w:val="20"/>
        </w:rPr>
        <w:t xml:space="preserve">Item 4. </w:t>
      </w:r>
      <w:hyperlink w:anchor="ifaf54775e85441fc836f60bc7c4f1464_136">
        <w:r>
          <w:rPr>
            <w:rStyle w:val="InternetLink"/>
            <w:rFonts w:ascii="Trade Gothic;sans-serif" w:hAnsi="Trade Gothic;sans-serif"/>
            <w:b/>
            <w:strike w:val="false"/>
            <w:dstrike w:val="false"/>
            <w:color w:val="000000"/>
            <w:sz w:val="20"/>
            <w:u w:val="none"/>
            <w:effect w:val="none"/>
          </w:rPr>
          <w:t>Controls and Procedures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Evaluation of Disclosure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at a reasonable assurance level as of March 31, 2026 because of the material weakness in internal controls further discussed below.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for the period ended March 31, 2026 and the year ended December 31, 2025,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material weakness that we identified was attributable to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the material weakness in our internal control over financial reporting, including hiring additional accounting personnel to assume transaction level responsibilities to appropriately segregate duties between preparers and reviewers.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0335"/>
                <wp:effectExtent l="0" t="0" r="0" b="0"/>
                <wp:wrapNone/>
                <wp:docPr id="26" name="Frame2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Changes in Internal Control over Financial Reporting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have been no changes in our internal control over financial reporting (as defined in Rules 13a-15(f) and 15d-15(f) of the Exchange Act) during the period covered by this Quarterly Report that have materially affected, or are likely to materially affect, our internal control over financial reporting.</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Limitations on Effectiveness of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rade Gothic;sans-serif" w:hAnsi="Trade Gothic;sans-serif"/>
          <w:b/>
          <w:color w:val="000000"/>
          <w:sz w:val="20"/>
        </w:rPr>
      </w:pPr>
      <w:bookmarkStart w:id="10" w:name="i651006a129164269bab0c6105e75e3ba_3335"/>
      <w:bookmarkEnd w:id="10"/>
      <w:r>
        <w:rPr>
          <w:rFonts w:ascii="Trade Gothic;sans-serif" w:hAnsi="Trade Gothic;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1" w:name="i5625c0a9db8343f8a17f1cbb2988fba5_3548"/>
      <w:bookmarkEnd w:id="11"/>
      <w:r>
        <w:rPr>
          <w:rFonts w:ascii="Trade Gothic;sans-serif" w:hAnsi="Trade Gothic;sans-serif"/>
          <w:b/>
          <w:color w:val="000000"/>
          <w:sz w:val="20"/>
        </w:rPr>
        <w:t>Item 1. Legal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information required by Item 103 of Regulation S-K is included in “Part I - Item 1. Financial Statements - Note 7 -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12" w:name="iea8c81aa6a1f4571b3eb52fdcc924823_450014"/>
      <w:bookmarkEnd w:id="12"/>
      <w:r>
        <w:rPr>
          <w:rFonts w:ascii="Trade Gothic;sans-serif" w:hAnsi="Trade Gothic;sans-serif"/>
          <w:b/>
          <w:color w:val="000000"/>
          <w:sz w:val="20"/>
        </w:rPr>
        <w:t xml:space="preserve">Item 1A. </w:t>
      </w:r>
      <w:hyperlink w:anchor="ifaf54775e85441fc836f60bc7c4f1464_16">
        <w:r>
          <w:rPr>
            <w:rStyle w:val="InternetLink"/>
            <w:rFonts w:ascii="Trade Gothic;sans-serif" w:hAnsi="Trade Gothic;sans-serif"/>
            <w:b/>
            <w:strike w:val="false"/>
            <w:dstrike w:val="false"/>
            <w:color w:val="000000"/>
            <w:sz w:val="20"/>
            <w:u w:val="none"/>
            <w:effect w:val="none"/>
          </w:rPr>
          <w:t>Risk Factors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 Factors Summary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have incurred significant losses and negative cash flows from operations since our formation, and we anticipate that we will continue to incur significant losses for the foreseeable future and may never achieve or maintain profitability.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Even if the BIM-IOL System or any other product candidate receives marketing approval, such product candidate may fail to achieve market acceptance by surgeons, patients and others in the medical community, and the market opportunity for these product candidates, if approved, may be smaller than we estimate.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may, if approved, also face competition from existing branded, generic and off-label products.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expect that we will need substantial additional capital to complete the development and any commercialization of our current and any future product candidates, which may cause dilution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0335"/>
                <wp:effectExtent l="0" t="0" r="0" b="0"/>
                <wp:wrapNone/>
                <wp:docPr id="27" name="Frame2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stockholders. If we are unable to raise this capital when needed, we may be forced to delay, reduce or eliminate our research and development programs or other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product candidates we develop may become subject to unfavorable third-party coverage and reimbursement policies, as well as pricing regulations.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success is highly dependent on our ability to attract and retain highly skilled executive officers and employees.</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rely, and expect to continue to rely, on third parties, including independent clinical investigators and contract research organizations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trading price of our common stock may be highly volatile, and you could lose all or part of your investment.</w:t>
      </w:r>
    </w:p>
    <w:p>
      <w:pPr>
        <w:pStyle w:val="TextBody"/>
        <w:bidi w:val="0"/>
        <w:spacing w:lineRule="auto" w:line="288" w:before="0" w:after="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principal stockholders and management own a significant percentage of our common stock and will be able to exercise significant influence over matters subject to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0335"/>
                <wp:effectExtent l="0" t="0" r="0" b="0"/>
                <wp:wrapNone/>
                <wp:docPr id="28" name="Frame2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with a limited operating history. We have no products approved for commercial sale and have not generated any revenue from product sales. Since our inception, we have devoted substantially all of our resources to the research and development of our product candidates by conducting clinical trials and preclinical studies, building our novel drug delivery technology (SpyGlass Platform), and recruiting management and technical staff to support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encounter unforeseen expenses, difficulties, complications, delays and other known and unknown factors and risks frequently experienced by biopharmaceutical companies developing products in rapidly evolving fields. If any of our product candidates are approved by the U.S. Food and Drug Administration (FDA), we will need to expand our commercialization infrastructure to successfully launch such product and also may need to transition from a company with a research focus to a company capable of supporting commercial activities. If we do not adequately address these risks and difficulties or successfully make such a transition, our business will suffer.</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We have incurred significant losses and negative cash flows from operations since our formation, and we anticipate that we will continue to incur significant losses for the foreseeable future and may never achieve or maintain profitability.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any products approved for sale, we have not generated any revenue from the sale of products, and we have incurred significant net losses since our company’s formation. We have funded our operations primarily from the sale and issuance of redeemable convertible preferred stock and our IPO. Our net losses were $13.8 million and $8.8 million for the periods ended March 31, 2026 and 2025, respectively. As of March 31, 2026, we had an accumulated deficit of $118.5 million.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incurring significant expenses and increasing operating losses for the foreseeable future. We expect that our expenses will increase substantially if and as we: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initiate additional clinical and other studies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change or add additional manufacturers or suppliers, some of which may require additional permits or other governmental approvals;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create additional infrastructure to support our operations as a public company and our product development and planned future commercialization efforts;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marketing approvals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a sales, marketing, and distribution infrastructure to commercialize any product candidates for which we may obtain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to identify, acquire and develop additional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acquire or in-license other product candidates and technologies;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make milestone or other payments in connection with the development or approval of our product candidates;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maintain, protect, and expand our intellectual property portfolio;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experience any delays or encounter issues with any of the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prior losses and expected future losses have had and will continue to have an adverse effect on our working capital and our ability to achieve and maintain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we may encounter unforeseen expenses, difficulties, complications, delays and other known and unknown factors and risks frequently experienced by biopharmaceutical companies in rapidly evolving fields. We also may need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0335"/>
                <wp:effectExtent l="0" t="0" r="0" b="0"/>
                <wp:wrapNone/>
                <wp:docPr id="29" name="Frame2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transition from a company with a research focus to a company capable of supporting commercial activities. If we do not adequately address these risks and difficulties or successfully make such a transition, our business will suffer.</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future success is dependent on our ability to timely complete clinical trials, obtain marketing approval for and successfully commercialize our lead product candidate, the Bimatoprost Drug Pad-IOL System (BIM-IOL System), which is comprised of novel, proprietary non-bioerodible drug pads attached to our non-bioerodible intraocular lens (IOL), designed to release three years of bimatoprost, the active pharmaceutical ingredient (API) in a highly effective prostaglandin analog (PGA) that was approved by the FDA in 2001. The BIM-IOL System is designed to be implanted during routine cataract surgery to reduce elevated intraocular pressure (IOP) in patients undergoing cataract surgery who have either open-angle glaucoma (OAG) or ocular hypertension (OHT). We are investing significant efforts and financial resources in the research and development of the BIM-IOL System and the SpyGlass Platform generally. We are conducting a Phase 1/2 clinical trial and are continuing to enroll in two registrational Phase 3 clinical trials. We expect to complete enrollment in 2027 and, pending successful Phase 3 results, we plan to submit a 505(b)(2) New Drug Application (NDA) to the FDA in 2028 to seek approval of the BIM-IOL System. We have no products approved for commercial sale and do not anticipate generating any revenue unless our BIM-IOL System or one of our other product candidates receives the regulatory approvals necessary for commercialization. Our ability to generate revenues from product sales will depend on our obtaining marketing approval for and commercializing any such approved product, and we cannot accurately predict when or if our BIM-IOL System or any of our other product candidates will be found safe and effective in humans for our proposed indications or whether our BIM-IOL System or any other such product candidates will receive marketing approval in any jurisdiction. We are not permitted to market or promote any product candidate before we receive marketing approval from the FDA and comparable foreign regulatory authorities, as applicable, and we may never receive such marketing approvals.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ability to generate revenue and achieve profitability, which we do not expect will occur for many years, if ever, depends significantly on the successful development and eventual commercialization of our product candidates. The success of our product candidates will depend on several factors, including, but not limited to,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and timely completion of clinical and preclinical development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initiation and successful patient enrollment and completion of our planned and ongoing clinical trials, as well as any necessary additional clinical trials, in each case with favorable results and on a timely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relationships with contract research organizations (CROs), and clinical sites for the clinical development, both in the United States and internationally,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frequency and severity of adverse events (AEs)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efficacy, safety and tolerability results that are satisfactory to the FDA or any comparable foreign regulatory authority for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timely receipt of marketing approvals from applicable regulatory authorities for any of our product candidates, including the BIM-IOL System or any future product candidates, for which we successfully complete clinical development;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completing any required post-marketing commitments or requirements agreed to with or required by applicable regulatory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developing an efficient and scalable manufacturing process, either directly or through a third party contract manufacturing organization (CMO), for our product candidates, including obtaining finished products that are appropriately packaged for sale;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commercially viable supply and manufacturing relationships with third parties that can provide adequate, in both amount and quality, products and services to support clinical development and meet any potential market demand for product candidates that we develop,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locate and retain alternate suppliers for the various components of our product candidates on commercially reasonable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commercial launch following any marketing approval, including the development of a commercial infrastructure, whether in-house or with one or more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0335"/>
                <wp:effectExtent l="0" t="0" r="0" b="0"/>
                <wp:wrapNone/>
                <wp:docPr id="30" name="Frame3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continued acceptable safety profile following any marketing approval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commercial acceptance of our product candidates by patients, physicians and surgeons, as well as the broader medical community, and government and third-party payors;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identifying, assessing and developing new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maintaining and expanding patent protection, trademark protection, trade secret protection and regulatory exclusivity, both in the United States and internationally;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protecting our rights in our intellectual property portfolio;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defending against third-party interference or infringement claims, if 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negotiating favorable terms in any collaboration, licensing or other arrangements that may be necessary or desirable to develop, manufacture or commercialize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coverage and adequate reimbursement for physicians, hospitals and ambulatory surgery centers from government and third-party payors for product candidates that we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addressing any competing therapies and technological and market developments;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attracting, hiring and retaining qualified personnel.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or our CMOs may also experience delays in developing a sustainable, reproducible and scalable manufacturing process, which may prevent us from completing our clinical trials or commercializing our product candidates on a timely or profitable basis, if at all. Certain changes in the manufacturing process or facilities we intend to utilize, directly or through a CMO, may require further comparability analysis and/or prior approval by the FDA before implementation, which could delay our clinical trials and product candidate development, and could require additional clinical trials, including bridging studies, to demonstrate comparability to materials produced using different processes or at other facilities.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Even if the BIM-IOL System or any other product candidate receives marketing approval, such product candidate may fail to achieve market acceptance by surgeons, patients and others in the medical community, and the market opportunity for these product candidates, if approved, may be smaller than we estimate.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receives marketing approval, it may nonetheless fail to gain sufficient market acceptance by surgeons, patients, and others in the medical community. Our BIM-IOL System is designed to solve for the limitations presented by currently available therapies by empowering cataract surgeons to use our BIM-IOL System when performing routine cataract surgeries and is designed to fit into all cataract surgeons’ existing procedural flow and preferred techniques; however, cataract surgeons may not accept a new treatment option or feel uncomfortable using a new technology. As a result, even if the BIM-IOL System demonstrates promising or superior clinical results, it is possible that surgeons instead may continue to rely on existing medications, products or treatments.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does not achieve an adequate level of acceptance, we may not generate significant product revenues and we may not become profitable. The degree of market acceptance of the BIM-IOL System or any other product candidate that we develop, if approved, will depend on a number of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surgeons, patients and others in the medical community considering our product candidates as safe and effective treatments, and their willingness to try or prescribe, as applicable, a new therapy;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offer our product candidates for sale at competitive prices, particularly if there are alternative treatments at a lower or equivalent cost, and the availability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clinical indications for which the product is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0335"/>
                <wp:effectExtent l="0" t="0" r="0" b="0"/>
                <wp:wrapNone/>
                <wp:docPr id="31" name="Frame3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and perceived advantages, and the relative convenience and ease of administration of our product candidates, including as compared to the existing standard of care, alternative treatments and competitive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willingness of patients to pay out-of-pocket in the absence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strength of our marketing and distribution support;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market introduction of our product candidates as well as competitive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for our competitors to limit our access to the market through anti-competitive contracts or other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prevalence and severity of any side effects;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restrictions on the use of our product candidates together with other medications.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our assessment of the potential market opportunity for the BIM-IOL System is based on industry and market data that we obtained from industry publications and research, surveys, and studies conducted by third parties, as well as management’s knowledge and experience in our industry.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the wholesale acquisition cost of iDose TR, industry publications, third-party research and other surveys, which may be based on a small sample size and/or fail to accurately reflect market opportunities. If any of our assumptions or estimates or any of these publications, research, surveys or studies prove to be inaccurate, then the actual market for the BIM-IOL System or any of our other product candidates may be smaller than we expect, which would have an adverse material impact on our business, financial condition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may, if approved, also face competition from existing branded, generic and off-label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and commercialization of new drug products is highly competitive. We face competition with respect to the BIM-IOL System and will face competition with respect to any other product candidates that we may seek to develop or commercialize in the future, from large and specialty pharmaceutical, biotechnology, medical technology and ophthalmology companies, academic research institutions and governmental agencies, and public and private research institutions. Any product candidate we develop and commercialize will have to compete with existing therapies, devices and procedures as well as therapies, devices and procedures currently in development and that may be developed in the future. We believe that the key competitive factors affecting the success of any of our product candidates will include efficacy, safety, speed to market, ease of use and reliability, acceptance by physicians, reimbursement and costs, level of devoted promotional activity and IP protection.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BIM-IOL System, is designed to treat OAG and OHT, placing us in direct competition with a range of therapies, devices, procedures and technologies, including topical eye drops, laser-based interventions, MIGS, and intracameral implants. These modalities are offered by companies with significant market presence and resources. For example, we compete with alternative glaucoma surgical device and ophthalmic laser companies such as Alcon, Allergan (AbbVie), Bausch &amp; Lomb, Glaukos, and Johnson &amp; Johnson, as well as pharmaceutical competitors such as Alcon, Allergan (AbbVie), Astellas, Genentech (Roche) and Regeneron.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commercial opportunity could be reduced or eliminated if our competitors develop and commercialize products that are safer, more effective, have fewer or less severe side effects, or are easier to use, more reliable or less expensive than any of our product candidates that are approved. Our competitors also may obtain FDA or other regulatory approval for their product candidates more rapidly than we may obtain approval for ours, which could result in our competitors establishing a strong market position before we are able to enter the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Many of our current or potential competitors, either alone or with their collaboration partners, have substantially greater financial resources and may have greater expertise in research and development, manufacturing, preclinical testing, conducting clinical trials and marketing approved products than we do. Mergers and acquisitions in the pharmaceutical, biotechnology and ophthalmology industries may result in even more resources being concentrated among a smaller number of our competitors. Smaller or early-stage companies may also prove to be strong competitors, particularly through collaborative arrangements with large and established companies. These companies also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0335"/>
                <wp:effectExtent l="0" t="0" r="0" b="0"/>
                <wp:wrapNone/>
                <wp:docPr id="32" name="Frame3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 us in recruiting and retaining qualified scientific and management personnel, as well as in acquiring technologies and intellectual property complementary to, or necessary for, our product candidates. Because of the size of the ophthalmology and vision correction markets and the high growth profile of such markets, we anticipate that companies will dedicate substantial resources to developing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that competing treatment options that are successfully developed could eventually be available both within and outside the United States. Our commercial opportunity could be impacted if competitors develop treatments and therapies that are more effective, safer, easier to use, or less costly—or if they achieve regulatory approval ahead of us.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that we will need substantial additional capital to complete the development and any commercialization of our current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of biopharmaceutical product candidates is capital-intensive. We expect to spend substantial amounts to advance our product candidates into clinical development and to complete the clinical development of, seek regulatory approvals for and commercialize our product candidates, if approved. If we obtain regulatory approval for our BIM-IOL System or any future product candidates, we expect to incur significant expenses related to developing our internal commercialization capability to support product sales, marketing, and distribution. Furthermore, we expect to incur additional costs associated with operating as a public company. We expect that we will require additional capital beyond the proceeds of our IPO, which we may raise through equity offerings, debt financings or other capital sources, including potential collaborations, licenses and other similar arrangements, to enable us to complete the development and potential commercialization of our BIM-IOL System or any future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31, 2026, we had cash and cash equivalents and short-term investments of $251.0 million. We believe that the estimated net proceeds from our IPO, together with our existing cash and cash equivalents and short-term investments, will be sufficient to fund our operating expenses and capital expenditure requirements through 2028. This estimate is based on assumptions that may prove to be wrong, and we could use our available capital resources sooner than we currently expect. Changing circumstances could cause us to consume capital significantly faster than we currently anticipate, and we may need to spend more than currently expected because of circumstances beyond our control. Because the length of time and activities associated with successful development of our product candidates is highly uncertain, we are unable to estimate the actual funds we will require for development and any marketing and commercialization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and trademark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being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seek additional capital due to favorable market conditions or strategic considerations, even if we believe we have sufficient funds for our current or future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0335"/>
                <wp:effectExtent l="0" t="0" r="0" b="0"/>
                <wp:wrapNone/>
                <wp:docPr id="33" name="Frame3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grant licenses on terms that may not be favorable to 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Adequate additional financing may not be available to us when needed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If we are unable to raise capital when needed or on acceptable terms,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Implantation of our BIM-IOL System involves risks and may result in complications and AEs, which may limit adoption of the BIM-IOL System, if approved, and negatively affect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BIM-IOL System is designed to be implanted into the capsular bag of the eye in connection with cataract surgery. As with any cataract surgery, there are inherent risks and potential complications involved. These risks may include, but are not limited to, infection, inflammation, bleeding, retinal detachment, increased IOP, dislocation or improper positioning of the IOL, visual disturbances and other AEs. In rare cases, these complications can result in permanent loss of vision or require additional surgical intervention to correct or remove the IOL.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safe and intended use of our BIM-IOL System depends not only on the design and quality of the system but also on the skill and experience of the surgeon performing the implantation. Variability in surgical technique, improper handling or placement of the system, or failure to follow recommended procedures could lead to higher rates of complications or AEs. Additionally, certain patient-specific factors, such as pre-existing ocular conditions or anatomical differences, may elevate the risk of complications.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Negative outcomes associated with our product candidates, whether due to product-related issues, surgical error or patient factors, could result in product liability claims, increased scrutiny from regulatory authorities and negative publicity. Furthermore, reports of AEs or complications could discourage surgeons from adopting our BIM-IOL System, even if approved, or lead to reluctance among patients to undergo procedures involving our BIM-IOL System, thereby limiting our ability to achieve or maintain market acceptance.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unable to demonstrate the safety and effectiveness of our BIM-IOL System and obtain the approvals required for commercialization, or if AEs associated with their use become widely known following such approval for commercialization, our business, financial condition and results of operations could be materially and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components of our BIM-IOL System experience mechanical failure during clinical trials or potential future commercial use, our business, financial condition and prospects could be negatively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still under development and has not received regulatory approval for commercial sale. As with other ophthalmic implants, our BIM-IOL System incorporates delicate components, such as haptics, that are essential for proper positioning and stability within the eye. During clinical trials or potential future commercial use, mechanical failure of these components—including haptic breakage—may occur during handling, implantation, or post-operatively. Such failures could result in lens dislocation, the need for additional or unplanned surgical intervention, or other adverse clinical outcomes, including compromised visual acuity or patient dissatisfaction.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haptic breakage or other mechanical failures are observed during clinical trials, such events could delay or prevent regulatory approval, require design modifications, or necessitate additional studies. Reports of such failures could also lead to increased regulatory scrutiny, negative publicity, or reluctance among investigators, surgeons, or patients to participate in our clinical trials. Even if our BIM-IOL System ultimately receives regulatory approval, any history of mechanical failures could limit physician and patient adoption, result in product complaints, or expose us to product liability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0335"/>
                <wp:effectExtent l="0" t="0" r="0" b="0"/>
                <wp:wrapNone/>
                <wp:docPr id="34" name="Frame3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have a material adverse effect on our business, financial condition, and prospects, and could prevent us from successfully commercializing our BIM-IOL System.</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product liability lawsuits are brought against us, we may incur substantial liabilities and may be required to limit commercialization of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business exposes us to significant product liability risks inherent in the development, testing, manufacturing and marketing of therapeutic treatments. Product liability claims could delay or prevent completion of our development programs. If any of our product candidates are approved for marketing, such claims could still result in an FDA or other regulatory authority investigation of the safety and effectiveness of such products, our manufacturing processes and facilities or our marketing programs. These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injury to our reputation, withdrawal of clinical trial participants, costs to defend the related litigation, a diversion of management’s time and our resources, initiation of investigations by regulators, substantial monetary awards to patients or other claimants, the inability to commercialize our product candidates and decreased demand for our product candidates, if approved for commercial sale.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and, if judgments exceed our insurance coverage, could adversely affect our results of operations and business and cause our stock price to decline. Furthermore, clinical trial and product liability insurance is becoming increasingly expensive. As a result, we may be unable to maintain or obtain insurance coverage at a reasonable cost or in sufficient amounts to protect us against losses, including those caused by product liability claims.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lead product candidate, the BIM-IOL System, is designed to deliver an API that is already on the market, which exposes us to additional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designed to deliver APIs to the eye of a subject when implanted during cataract surgery. The selected API of our BIM-IOL System, bimatoprost, is the API, a highly effective PGA that was approved by the FDA in 2001 for the reduction of elevated IOP in patients with OAG or OHT. Bimatoprost in the crystalline form we use has been in the public domain and used for the treatment of eye disorders for many years and we are therefore not able to seek and obtain patent protection for the form of crystalline bimatoprost we use in our BIM-IOL System. We cannot prevent third parties from using bimatoprost in competitor ophthalmic drug delivery products because it is in the public domain and accessible by third parties. This may permit a third party having a competing product to be more competitive against us. We purchase bimatoprost from a third-party vendor who has sold the form of bimatoprost that we use in our product candidates for many years. We cannot prevent third parties from purchasing bimatoprost from our vendor or other vendors selling bimatoprost. We cannot prevent our vendor from selling bimatoprost to third parties for their ophthalmic products, which may be similar to our BIM-IOL System or other product candidates. Our vendor does not have patent protection for the bimatoprost that we purchase. We or our vendor cannot prevent third party vendors from making and/or selling bimatoprost such as selling the third party vendors’ bimatoprost to third party competitors. Furthermore, if manufacturer demand for bimatoprost increases in the future, or if a shortage occurs, we may not be able to continue to obtain bimatoprost on commercially reasonable terms or at all, which would significantly harm our business. Similar risks will apply to the extent that we incorporate additional or different APIs that are also already in the public domain into any future product candidates we develop.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bimatoprost has been commercially available for several years, regulatory authorities may identify adverse side effects related to bimatoprost in the future. Any adverse side effects that arise from the use of any form of bimatoprost, or reporting thereof, could prevent or inhibit the commercialization of our BIM-IOL System and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0335"/>
                <wp:effectExtent l="0" t="0" r="0" b="0"/>
                <wp:wrapNone/>
                <wp:docPr id="35" name="Frame3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U.S. trade policy, including recently announced tariffs, could have a material adverse impact on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Changes in U.S. trade policy, including recently announced tariffs, could have a material adverse impact on our business, financial condition, and results of operations. The imposition of retaliatory or new tariffs or increases in existing tariffs on goods imported from countries where we source from third party suppliers could result in increased material costs. If we are unable to mitigate these risks through supply chain adjustments, such as changing third party suppliers, the development, testing and clinical trials of our product candidates may be delayed or infeasible, and regulatory approval or commercial launch of any resulting product may be delayed or not obtained, which could significantly harm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we entered into an Exclusive License Agreement with the Regents of the University of Colorado (CU), which was amended in December of 2020, May of 2023, and October of 2025 (as amended, the License Agreement), pursuant to which CU granted us an exclusive, worldwide, royalty-bearing, transferable license, with the right to grant sublicenses, under certain patents and patent applications co-owned by CU and us relating to an intraocular drug dispenser (the Licensed Patents) for us to make, have made, use, import, offer to sell, sell, render and practice all products covered by the Licensed Patents (the License, and such products of the Licensed Patents) in all fields. All Licensed Patents are jointly owned by CU and us. CU retains the non-exclusive right for itself and all other not-for-profit academic and research institutions to practice all Licensed Products for educational, research, clinical, or other non-commercial purposes. The U.S. federal government retains a non-exclusive right to practice the Licensed Patents under 35 U.S.C. §§ 200-212 and 37 C.F.R. § 401, and we must use commercially reasonable efforts to cause any Licensed Products to be manufactured substantially in the United States to the extent required by 35 U.S.C. § 204.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obligated to use commercially reasonable efforts to develop, market and sell at least two Licensed Products in all fields worldwide, to meet certain diligence milestones by certain deadlines, and to pay CU an annual license fee, milestone payments and royalties. CU may terminate the agreement for, among other causes, our uncured material breach of the License or our failure to use commercially reasonable efforts to develop a product covered by the Licensed Patents in the territories set forth in the License, including efforts to meet the development and commercial milestones and obligations in the License Agreement, and cessation of sales of a commercially sold Licensed Product for two consecutive calendar quarters, in each case pursuant and subject to the terms of the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Termination of this license for failure to comply with such obligations or for other reasons, or reduction or elimination of our licensed rights under it or any other license, may result in our having to negotiate new or reinstated licenses on less favorable terms or our not having sufficient intellectual property rights to operate our business. The occurrence of such events could materially harm our business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risks described elsewhere pertaining to our intellectual property rights also apply to the intellectual property rights that we in-licensed, and any failure by us or our licensors to obtain, maintain, defend and enforce these rights could have a material adverse effect on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success depends in large part on our ability to obtain and maintain patent protection in the United States and select foreign countries with respect to our BIM-IOL System and any future product candidates. We rely upon a combination of patents, trademarks and trade secret protections, and nondisclosure, confidentiality, employment agreements, work-for-hire agreements and other work-product agreements to protect the intellectual property related to our BIM-IOL System and our other product candidates. If we are unable to obtain or maintain patent protection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0335"/>
                <wp:effectExtent l="0" t="0" r="0" b="0"/>
                <wp:wrapNone/>
                <wp:docPr id="36" name="Frame3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respect to our BIM-IOL System or any future product candidates, and their uses, our business, financial condition, resultant operations and prospects could be materially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generally seek to protect our proprietary position by filing patent applications in the United States and in certain select foreign jurisdictions including Canada, Japan, Australia, and Europe related to our BIM-IOL System and our other product candidates that are important to our business. If we fail to obtain, maintain and protect our intellectual property, third parties may be able to compete more effectively against us. In addition, we may incur substantial costs related to litigation or other patent proceedings in the United States or foreign countries in which we have sought patent prosecution in our attempts to recover losses caused by a third party or restrict use of our intellectual property by a third party. The patent prosecution process is expensive and time-consuming, and we may not be able to file, prosecute, enforce or license all necessary or desirable patent applications at a reasonable cost or in a timely manner or in all jurisdictions where protection may be commercially advantageous or even in the jurisdictions where we have sought patent protection. Additionally, recent reforms, U.S. Supreme Court and Federal Circuit jurisprudence, specific governmental appointments, and changes at government agencies of the United States and those of non-U.S. jurisdictions could increase the delays, uncertainties and costs surrounding the prosecution of our patent applications, and the maintenance, enforcement, or defense of our patents. For example, the ability of the U.S. Patent and Trademark Office (USPTO) and other applicable patent authorities to properly administer their functions is highly dependent on the levels of funding available to the agency, the specific appointees positioned in the USPTO, and the USPTO’s ability to retain personnel and fill key leadership appointments, among various factors. New statutory frameworks, new case law, or USPTO rulemaking and advisement can significantly impact our ability to obtain, enforce, and defend our patents. For example, a change regarding patent eligible subject matter can have drastic effects on medical technologies, especially with respect to surgical methods and proposed methods of treatment.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output and data before it is too late to obtain patent protection because of a third party filing or a disclosure into the public domain. Moreover, if we choose to license certain patent rights now or in the future from third parties, we may not have the right to control the preparation, filing and prosecution of such patent applications, or to maintain the patents, directed to technology that we license from those third parties. We may also require the cooperation of our future licensor, if any, in order to enforce and/or defend the licensed patent rights, and such cooperation may not be provided. Therefore, any licensed patents and patent applications may not be prosecuted and enforced in a manner consistent with the best interests of our business. We cannot be certain that patent prosecution and maintenance activities by any of our future licensors have been or will be conducted in compliance with applicable laws and regulations, which may affect the validity and enforceability of such patents or any patents that may issue from such patent applications. If they fail to obtain a patent, this could cause us to lose rights in any applicable intellectual property that we in-license, and as a result our ability to develop and commercialize the BIM-IOL System and our other product candidates may be adversely affected and we may be unable to prevent competitors from making, using and selling competing products to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 positions of companies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that could narrow or otherwise alter the scope of coverage of our patent.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our patents or any other patents owned by or licensed to us could deprive us of rights necessary for our commercial success. Further, there can be no assurance that we will have adequate resources to enforce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0335"/>
                <wp:effectExtent l="0" t="0" r="0" b="0"/>
                <wp:wrapNone/>
                <wp:docPr id="37" name="Frame3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selected API of our BIM-IOL System, bimatoprost, is an approved and known pharmaceutical that has been in the public domain and used for the treatment of eye disorders for many years and we are therefore not able to seek and obtain patent protection for the form of crystalline bimatoprost we use in our BIM-IOL System. There is no assurance that all of the potentially relevant patents or patent applications relating to bimatoprost or its forms and formulations have been identified in the United States and in foreign jurisdictions, the identity of which could be asserted against our use of bimatoprost in our BIM-IOL System. A third party may hold patent protection on the API bimatoprost used in our platform in its current form. These patents may be asserted against us in litigation such as patent infringement or other cause of action, for our use of the API in our BIM-IOL System. If a patent is asserted against us, this could have a negative impact on our business. The third party holding such a patent may have substantially greater resources than we do and may have competing technologies that may limit, interfere with, or block our ability to make, have made, use, import, offer to sell, and sell our BIM-IOL System or other product candidates where the delivered drug is bimatoprost. If a patent is asserted against us, we would need to divert considerable resources and personnel to fight such an action in order to defend our position and to challenge the patent’s validity, enforceability, or scope, which may result in such asserted patents being upheld but may also result in such patent being narrowed, invalidated or held unenforceable. Such actions would require considerable resources and time distracting us from our business. We may be forced to take a license, if offered, from a third party holding such a patent for use of bimatoprost in our BIM-IOL System or other product candidates in the future. If we are unable to obtain a license under reasonable terms, we may be forced to use a different API that could be less desirable or effective in our proposed treatments. In addition, these patents could be asserted against our vendor that supplies bimatoprost to us and we could be forced to seek alternative sources of bimatoprost not protected by the patent or to seek a different API from our vendor or a different vendor to use in our BIM-IOL System. If we are forced to use a different API in our BIM-IOL System, we would have to expend considerable resources and time assessing a replacement API that is at least as effective as bimatoprost and in developing and testing the new API in our BIM-IOL System, which may cause significant additional expenses for example, when manufacturing or seeking regulatory approval for a replacement API in our BIM-IOL System.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patent applications we hold or may in-license in the future with respect to our BIM-IOL System and product candidates fail to issue, if their breadth or strength of protection is threatened, or if they fail to provide meaningful exclusivity for our BIM-IOL System or any future product candidate, it could dissuade other companies from collaborating with us to develop product candidates, and threaten our ability to commercialize the BIM-IOL System or future product candidates. Any such outcome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issuance of a patent is not conclusive as to its inventorship, scope, validity or enforceability, and our owned and licensed patents and patent applications may be challenged in the courts or patent offices in the United States and our selected foreign jurisdictions. Patents that have issued may later be found invalid or unenforceable or may be modified or revoked in proceedings instituted by third parties before various patent offices or in courts. An adverse decision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technology and product candidates. Additionally, an adverse decision in any such challenge can impact the validity or enforceability of other patents of ours that are not part of the adverse decision but related to our challenged patents. Generally, issued patents are granted a term of 20 years from the earliest claimed non-provisional filing date. In certain instances, patent term can be adjusted to recapture a portion of delay incurred by the USPTO in examining the patent application (patent term adjustment) if the delays by the USPTO outnumber the days of delay created by the patentee in the examination process. The scope of patent protection may also be limited as a result of successful challenges or other processes available to narrow the scope of claims of a patent post issuance.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Without patent protection for our BIM-IOL System or future product candidates, we may be open to competition from similar or the same products as our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a duration of patent protection rights of sufficient length to exclude others from commercializing products similar or identical to our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Pending patent applications cannot be enforced against third parties practicing the technology claimed in such applications unless and until a patent is issued for such applications. The patent application process is subject to numerous risks and uncertainties, and there can be no assurance that we or any of our potential future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0335"/>
                <wp:effectExtent l="0" t="0" r="0" b="0"/>
                <wp:wrapNone/>
                <wp:docPr id="38" name="Frame3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partners will be successful in protecting our BIM-IOL System or our other product candidates by obtaining and defending patents. These risks and uncertainties include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and various foreign governmental patent agencies where we have pursued patent protection require compliance with a number of procedural, documentary, fee payment structure and other provisions during the patent prosecution process and maintenance thereof, the noncompliance with which can result in abandonment or lapse of a patent or patent application, and partial or complete loss of patent rights in the relevant jurisdiction;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requires us to disclose all material references to the USPTO and to the Patent Examiner during prosecution of our patent applications at the USPTO, and failure to do so could result in a third party identifying material references unknown to us and successfully challenging our ability to obtain a patent, maintain a patent or enforce a patent against an infringer;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 applications may not result in any patents being issued;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may be challenged, invalidated, modified, revoked, circumvented, found to be unenforceable or otherwise may not provide any competitive advantage against third party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many of whom have substantially greater resources than we do and many of whom have made significant investments in competing technologies, may seek or may have already obtained patents that will limit, interfere with, reduce or block our ability to make, have made, use, import, offer to sell, and sell our BIM-IOL System or other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could be delays at the USPTO caused by staffing cuts and other U.S. government actions as a result of the U.S. Department of Government Efficiency or other executive actions to reduce the size of the U.S. government and in particular the USPTO staff;</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may be significant pressure on the U.S. government and foreign governmental bodies to limit the scope of patent protection both inside and outside the United States for use of our BIM-IOL System or other product candidates in the treatment of eye-related conditions that prove successful, as a matter of public policy regarding U.S and foreign health concerns;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countries other than the U.S. may have patent laws less favorable to patentees than patent laws in the U.S. Patent Office or those upheld by U.S. courts in as far as obtaining and enforcing patent rights, allowing foreign competitors a better opportunity to create, develop and market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patents and patent applications that we own or license may fail to result in patents with claims that protect our BIM-IOL System, development programs or any future product candidate in the United States or in other foreign countries of which we seek protection. There is no assurance that all of the potentially relevant prior art relating to our patents and patent applications has been found, which can prevent a patent from issuing from a pending patent application or can be used to invalidate a patent. Even if patents do successfully issue and even if such patents cover our BIM-IOL System or any future product candidate, third parties may challenge their validity, enforceability or scope, which may result in such patents being narrowed, invalidated or held unenforceable. Any successful opposition to these patents or any later obtained patents owned by, or licensed to us could deprive us of rights necessary for the successful commercialization of our BIM-IOL System or any other product candidates that we may develop. Further, the scope and coverage of our patents may be so narrow that a third party could design around our patents and therefore, not infringe our patent(s). Further, if we encounter delays in issuance of a patent and/or regulatory approvals, the period during which we could market a product candidate under patent protection could be reduced.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 foregoing events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U.S. and foreign patent laws relating to the patentability of certain inventions in drug delivery technology, medical device and medical product industry are uncertain and rapidly changing, which may adversely impact our existing patents or our ability to obtain patents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Changes in either patent laws or interpretation of patent laws in the United States or in other jurisdictions could increase the uncertainties and costs surrounding the prosecution of patent applications, the grant of patents, and the enforcement or defense of patents. In the last fifteen years, the U.S. Congress made sweeping changes to patent law in passing the America Invents Act (AIA). Additionally, appointed government officials to the USPTO or that control the USPTO processes can participate in selective enforcement making selective decisions and rule-making that can affect the issuance and/or enforceability and/or post-grant challenges to the validity of our patent(s) and patent applications. These changes include, among others, allowing third-party submission of prior art to the USPTO during patent prosecution and additional procedures to challenge the validity of a patent by the USPTO administered post-grant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0335"/>
                <wp:effectExtent l="0" t="0" r="0" b="0"/>
                <wp:wrapNone/>
                <wp:docPr id="39" name="Frame3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 xml:space="preserve">proceedings, including post-grant review,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our claim invalid even though the same evidence would be insufficient to invalidate our claim if first presented in a district court action. The AIA also provides that an administrative tribunal known as the Patent Trial and Appeals Board (PTAB), provides a venue for challenging the validity of patents at a cost that is much lower than district court litigation and on timelines that are much faster. Although it is not clear what, if any, long-term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process for challenging patents could increase the likelihood that our patents will be challenged, thereby increasing the uncertainties and costs of maintaining and enforcing them. The changes brought about by the AIA can increase the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Various courts, including the U.S. Supreme Court, have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to pending patent applications when examining claims for patent eligibility. Patent eligibility guidelines vary by country and patent claims that may be subject matter eligible in the United States may not be eligible in another foreign jurisdiction. For example, as compared to the United States, our ability to obtain claims to medical methods is more limited in Europe, Japan and Canada. Additionally, enforcement and recoverable damages in the United States based on patent claims to medical methods have limitations that may affect our ability to enforce certain patent claims.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Actions taken by the U.S. Congress, federal courts and USPTO have from time to time narrowed the scope of patent protection available in certain circumstances and weakened the rights of patent owners in some situations. Similar changes have been made by authorities in other foreign jurisdictions. In addition to increasing uncertainty with regard to our ability to obtain patents, such changes create uncertainty with respect to the value of patents, once obtained. Depending on decisions by authorities in the United States and in selected foreign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sure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drug delivery and medical device technology areas and any such changes, or any similar adverse changes in the patent laws of other foreign jurisdictions, could have a negative impact on our business, financial condition, prospects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June 1, 2023, the European Union Patent Package (EU Patent Package) regulations were implemented with the goal of providing a single pan-European Unitary Patent (Unitary Patent) and a new European Unified Patent Court (UPC) for litigation involving European patents. As a result, all European patents, including those issued prior to ratification of the EU Patent Package, now by default automatically fall under the jurisdiction of the UPC, unless otherwise selecting a different course by opting out at the time of grant. It is uncertain how the UPC will impact granted European patents in the biotechnology, medical products and pharmaceutical industries. Our European patent applications, if granted and not opted out, could be challenged in the UPC. During the first seven years of the UPC’s existence, the UPC legislation allows a patent owner to opt its European patents out of the jurisdiction of the UPC. We have already opted out of the UPC for one European patent and may decide to opt out our other future European patents from the UPC, but doing so may preclude us from realizing the benefits of the UPC. Moreover, if we do not meet all of the formalities and requirements for opt-out under the UPC, our current or future European patents could remain under the jurisdiction of the UPC. The UPC provides our competitors with a forum to centrally revoke our European patents and allow for the possibility of a competitor to obtain a pan-European injunction. Such a loss of patent protection could have a material adverse impact on our business and our ability to commercialize our technology and our product candidates due to increased competition and, resultantly, affecting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0335"/>
                <wp:effectExtent l="0" t="0" r="0" b="0"/>
                <wp:wrapNone/>
                <wp:docPr id="40" name="Frame4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Patent terms may be inadequate to protect our competitive position on our BIM-IOL System or other product candidates for an adequate amount of time.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Patent rights are of limited duration. In the United States, if all maintenance fees are paid timely, the natural expiration of a patent is generally 20 years after its first effective filing date. However, the actual protection afforded by a patent varies from country to country, and depends on many factors, including the type of patent, the scope of its coverage, the availability of regulatory-related extensions, the availability of legal remedies in a particular country and the validity and enforceability of the patent. Various extensions may be available, but the life of a patent, and the protection it affords is limited. Only a single patent can be extended for each marketing approval under the FDA, and any patent can be extended only once, for a single product. Moreover, the scope of protection during the period of the patent term extension does not extend to the full scope of the claims, but instead only to the scope covering the product as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third-party products. As a result, our patent portfolio may not provide us with sufficient rights to exclude others from commercializing product candidates similar or identical to ours. Upon issuance in the United States, the term of a patent may be increased by patent term adjustment, which is based on certain delays caused by the USPTO, but this increase can be reduced or eliminated based on certain delays caused by the patentee during patent prosecution. The term of a U.S. patent may also be shortened if the patent is terminally disclaimed over an earlier-filed patent.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Depending upon the timing, duration and specifics of FDA marketing approval of our BIM-IOL System and future product candidates, one or more of our U.S. patents may be eligible for limited patent term extension under the Drug Price Competition and Patent Term Restoration Act of 1984, referred to as the Hatch-Waxman Amendments as a combination drug and device FDA-approved product. The Hatch-Waxman Amendments permit a patent restoration term of up to five years and is based on the first approved use of a combination product and is limited to only one patent that covers the approved combination product, the approved use of the combination product, or a method of manufacturing the combination product. Such patent term extension (PTE) cannot extend the remaining term of a patent beyond a total of 14 years from the date of product approval. However, the applicable authorities, including the FDA and the USPTO,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PTE is only relevant after a patent has been issued. If the USPTO or other foreign patent office delays issuance of a patent, this can affect the number of days awarded that extend patent term. The PTE is awarded based upon the FDA’s regulatory review period, but the PTE evaluation stage involves cooperation between the USPTO and the FDA. Reduced personnel and increased workload of USPTO examiners can affect issuance of a patent and if delayed, shortens the number of PTE days eligible for award. Administrative changes (e.g., at the FDA or USPTO) may also lead to delays in review and analysis of regulatory submissions or requests for PTE. If we are unable to extend the expiration date of our existing patents or obtain new patents covering our product(s) with prolonged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 If PTE is unavailable, reduced or not awarded, our ability to prevent third parties from selling products that infringe our patent subject to PTE covering our ophthalmic drug delivery product candidates or other future product candidates can be reduced where our patents could expire sooner if PTE is reduced or not awarded.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Laws governing PTE in foreign jurisdictions where we have pursued patent protection analogous to U.S. PTE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patent term restoration, or the term of any such extension is less than we request, the period during which we will have the right to exclude others from marketing our product in the specific jurisdiction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0335"/>
                <wp:effectExtent l="0" t="0" r="0" b="0"/>
                <wp:wrapNone/>
                <wp:docPr id="41" name="Frame4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the drug delivery and medical device industries expand and more patents are issued, the risk increases that our BIM-IOL System or our other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in the United States or foreign jurisdictions. Identification of third-party patent rights that may be relevant to our operations is difficult because patent searching is imperfect due to differences in terminology among patents, varied public access when comparing searching programs, incomplete databases and the difficulty in assessing the meaning of patent claims. We cannot provide any assurances that third-party patents do not exist which might be enforced against our existing product candidates or current technology, including our BIM-IOL System or any of our future product candidates, their respective methods of use, and manufacture thereof, and could result in either an injunction prohibiting our manufacture or future sales, or, with respect to our future sales, an obligation on our part to pay royalties and/or other forms of compensation to third parties, which could be significant.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that is relevant to or necessary for the commercialization of our BIM-IOL System and future product candidates in any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Numerous U.S. and foreign patents and patent applications exist in our market that are owned by third parties. Our competitors in both the United States and in foreign jurisdictions,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offer to sell and sell our BIM-IOL System or our other product candidates. Patents and patent applications in foreign jurisdictions can be harder to find and therefore, it is possible that we will not be able to identify patent or patent applications relevant to our product candidates. We do not always conduct independent reviews of pending patent applications and patents issued to third parties. Patent applications in the United States and certain foreign countries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a patent issues and therefore, remains confidential from the public until such time. In addition, patent applications in the United States and certain foreign jurisdictions can be pending for many years before issuance, or unintentionally abandoned patents or applications can be revived. Furthermore, pending patent applications that have been published can, subject to certain limitations, be later amended in a manner that could cover our BIM-IOL System or our other product candidates or the use of our BIM-IOL System or our other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BIM-IOL System or our other product candidates or will prevent, limit or otherwise interfere with our ability to make, use, offer to sell, or sell our BIM-IOL System or our other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scope of a patent claim is determined by an interpretation of the law, the written disclosure in a patent and the patent’s prosecution history. Our interpretation of the relevance or the scope of a patent or a patent application may be incorrect, which may negatively impact our ability to market our product candidates, if approved. For example, we may incorrectly determine that our BIM-IOL System or our other product candidate(s) are not covered by a third-party patent or may incorrectly predict whether a third party’s pending application will issue with claims of relevant scope. Our determination of the expiration date of any patent in the United States or foreign jurisdictions that we consider relevant may be incorrect, and our failure to identify and correctly interpret relevant patents may negatively impact our ability to obtain patents covering our product candidates(s) and develop and market our product candidates. Our failure to identify and correctly interpret relevant patents may negatively impact our ability to develop and market our product candidates, if approved.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our patent protection depends on compliance with various procedural processes,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Periodic maintenance fees, renewal fees, annuity fees and various other government fees on patents and/or patent applications will be due to be paid to the USPTO and certain foreign patent agencies in several stages over the lifetime of our patents and patent applications. The USPTO and various foreign patent agencies require compliance with a number of procedural, documentary, fee payment, and other similar provisions during the patent application and patent maintenance process if not complied with by us, can lead to a shortened life of our patents or our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0335"/>
                <wp:effectExtent l="0" t="0" r="0" b="0"/>
                <wp:wrapNone/>
                <wp:docPr id="42" name="Frame4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applications and the patents or patent applications can go abandoned without the ability to revive. While an inadvertent lapse can in many cases be cured by payment of a late fee or by other means in accordance with the applicable rules in the USPTO, there are situations in which noncompliance can result in abandonment or lapse of the patent or patent application in the United States or foreign jurisdictions,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failure to pay an annuity by a final deadline, failure to pay a grant or issue fee by a final deadline, and failure to properly legalize and submit formal documents without the ability to cure. We employ reputable law firms and other professionals to help us comply with these provisions. In many cases, an inadvertent lapse can be cured by payment of a late fee or by other means in accordance with the applicable rules. If we or any of our licensors fail to maintain the patents and patent applications covering the BIM-IOL System or any future product candidate, our competitors may be able to enter the market with products similar or the same as ours without risk of infringement, which would have an adverse effect on our business, financial conditions,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0" w:after="240"/>
        <w:jc w:val="left"/>
        <w:rPr/>
      </w:pPr>
      <w:r>
        <w:rPr>
          <w:rFonts w:ascii="Trade Gothic;sans-serif" w:hAnsi="Trade Gothic;sans-serif"/>
          <w:b w:val="false"/>
          <w:color w:val="000000"/>
          <w:sz w:val="19"/>
        </w:rPr>
        <w:t xml:space="preserve">Our commercial success depends in part on our ability to develop, manufacture, market and sell our BIM-IOL System and any future product candidates, while avoiding infringement and other violations of the patents and proprietary rights of third parties. There is a substantial amount of litigation and other adverse proceedings, both within and outside the United States, involving patent and other intellectual property rights in the drug delivery, medical device and medical device therapeutic delivery system industries, including patent infringement lawsuits, international trade commission (ITC)-related lawsuits that affect import of products that infringe third party patents (e.g., Section 337 of the U.S. Tariff Act of 1930), interferences, derivation, and administrative law proceedings,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 xml:space="preserve">review, </w:t>
      </w:r>
      <w:r>
        <w:rPr>
          <w:rFonts w:ascii="Trade Gothic;sans-serif" w:hAnsi="Trade Gothic;sans-serif"/>
          <w:b w:val="false"/>
          <w:i/>
          <w:color w:val="000000"/>
          <w:sz w:val="19"/>
        </w:rPr>
        <w:t xml:space="preserve">ex parte </w:t>
      </w:r>
      <w:r>
        <w:rPr>
          <w:rFonts w:ascii="Trade Gothic;sans-serif" w:hAnsi="Trade Gothic;sans-serif"/>
          <w:b w:val="false"/>
          <w:color w:val="000000"/>
          <w:sz w:val="19"/>
        </w:rPr>
        <w:t xml:space="preserve">re-examinations, and post-grant review before the USPTO, as well as oppositions and similar processes in foreign jurisdictions. We may be exposed to, or threatened with, future litigation by third parties having patent or other intellectual property rights who allege that our BIM-IOL System or our other product candidates, uses and/or other proprietary technologies infringe their intellectual property rights. Companies in the drug delivery and medical device industry have used intellectual property litigation to gain a competitive advantage. Our commercial success depends in part upon our ability and that of our CMOs and suppliers to manufacture, market, and sell our product candidates, if approved, and to use our proprietary technologies without infringing, misappropriating or otherwise violating the proprietary rights or intellectual property of third parties. We may in the future become party to, or be threatened with, adversarial proceedings or litigation regarding intellectual property rights with respect to our BIM-IOL System, our other product candidates and any future product candidates and technology, whether or not we are actually infringing, misappropriating or otherwise violating the rights of third parties. Numerous U.S. and foreign patents and pending patent applications, which are owned by third parties, exist in the fields in which we and our collaborators are developing product candidates. As the drug delivery and medical device industries expand and more patents are issued, and as we gain greater visibility and market exposure as a public company, the risk increases that our BIM-IOL System or our other product candidates or other business activities may be subject to claims of infringement of the patent and other proprietary rights of third parties. Third parties may assert that we are infringing their patents or employing their proprietary technology without authorization, regardless of the merit of such claims.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BIM-IOL System or our other product candidates. Regardless of when filed, we may fail to identify relevant third-party patents or patent applications, or we may incorrectly conclude that a third-party patent is invalid or not infringed by our BIM-IOL System or our other product candidates or activities. If a patent holder believes that our product candidate our BIM-IOL System infringes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 If a patent infringement suit were threatened or brought against us, we could be forced to stop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0335"/>
                <wp:effectExtent l="0" t="0" r="0" b="0"/>
                <wp:wrapNone/>
                <wp:docPr id="43" name="Frame4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delay research, development, manufacturing or sales of the product or product candidate that is the subject of the actual or threatened suit.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 candidates and business operations infringe or violate the intellectual property rights of others that include these patent trolls.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Also, there may be third-party patents or patent applications with claims to materials, drug delivery features, formulations, methods of manufacture or methods for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third parties may obtain patent rights in the future and claim that use of our technologies infringes their rights. If any third-party patents were held by a court of competent jurisdiction to cover the manufacturing process of any of our product candidates, cover important features of our product candidate methods of treating certain diseases or conditions that we are pursuing with our product candidates, our BIM-IOL System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Parties making claims against us may obtain injunctive or other equitable relief, which could effectively block our ability to further develop and commercialize one or more of our BIM-IOL System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additional licenses from third parties to advance our research or allow commercialization of our BIM-IOL System or our other product candidates. We may fail to obtain any of these additional licenses at a reasonable cost or on reasonable terms, if at all. In that event, we would be unable to further develop and commercialize our BIM-IOL System or other product candidates, which could harm our business significantly. The acquisition or licensing of third-party intellectual property rights is a competitive area, and our competitors may pursue strategies to acquire or license third party intellectual property rights that we may consider attractive or necessary. If we are unable to successfully obtain rights to required third party intellectual property rights or maintain the existing intellectual property rights we have, we may have to abandon development of the relevant product candidates or redesign those product candidates that contain the allegedly infringing intellectual property, which could harm our business, financial condition and results of operations.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force us to cease some of our business operations, which could materially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provide any assurances that third-party patents do not exist which might be enforced against our BIM-IOL System or our other product candidates, resulting in either an injunction prohibiting our sales, or, with respect to our sales, an obligation on our part to pay royalties under terms of a license agreement or other forms of compensation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During the course of any intellectual property litigation, there could be public announcements of the litigation such as commencement of a litigation, results of hearings, rulings on motions, and other interim proceedings in the litigation. If securities analysts or investors regard these announcements as negative, the perceived value of our existing products,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 Because of the substantial amount of discovery required in connection with intellectual property litigation, there is a risk that some of our confidential information could be compromised by disclosure during litigation. Even if we ultimately prevail, a court may decide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0335"/>
                <wp:effectExtent l="0" t="0" r="0" b="0"/>
                <wp:wrapNone/>
                <wp:docPr id="44" name="Frame4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lawsuits to protect or enforce our patents or other intellectual property rights, or the patents or other intellectual property rights of our licensors, which could be expensive, time consuming, and unsuccessful, and could result in a court or administrative body finding our patents to be invalid or unenforceable.</w:t>
      </w:r>
    </w:p>
    <w:p>
      <w:pPr>
        <w:pStyle w:val="TextBody"/>
        <w:bidi w:val="0"/>
        <w:spacing w:lineRule="auto" w:line="288" w:before="0" w:after="240"/>
        <w:jc w:val="left"/>
        <w:rPr/>
      </w:pPr>
      <w:r>
        <w:rPr>
          <w:rFonts w:ascii="Trade Gothic;sans-serif" w:hAnsi="Trade Gothic;sans-serif"/>
          <w:b w:val="false"/>
          <w:color w:val="000000"/>
          <w:sz w:val="19"/>
        </w:rPr>
        <w:t xml:space="preserve">Competitors may challenge, infringe or otherwise violate our co-owned licensed patents, or our other intellectual property rights. To counter challenges, infringement or unauthorized use or misappropriations, we or any future licensors may be required to file or defend legal claims against us, which can be expensive and time-consuming. In addition, in such a proceeding, a court may decide that one or more patent of ours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and/or unenforceability are commonplace. Grounds for a validity challenge could be an alleged for failure to meet any of several statutory requirements, including lack of inventiveness, obviousness, non-enablement, insufficient written description, or failure to claim patent-eligible subject matter. Grounds for an unenforceability assertion could be an allegation that someone connected with prosecution of the patent or that we withheld relevant material information from the USPTO, or made a materially misleading statement, during prosecution. Third parties may also raise similar validity claims before the USPTO in post-grant proceedings such as </w:t>
      </w:r>
      <w:r>
        <w:rPr>
          <w:rFonts w:ascii="Trade Gothic;sans-serif" w:hAnsi="Trade Gothic;sans-serif"/>
          <w:b w:val="false"/>
          <w:i/>
          <w:color w:val="000000"/>
          <w:sz w:val="19"/>
        </w:rPr>
        <w:t>ex parte</w:t>
      </w:r>
      <w:r>
        <w:rPr>
          <w:color w:val="000000"/>
        </w:rPr>
        <w:t xml:space="preserve"> </w:t>
      </w:r>
      <w:r>
        <w:rPr>
          <w:rFonts w:ascii="Trade Gothic;sans-serif" w:hAnsi="Trade Gothic;sans-serif"/>
          <w:b w:val="false"/>
          <w:color w:val="000000"/>
          <w:sz w:val="19"/>
        </w:rPr>
        <w:t xml:space="preserve">reexaminations, </w:t>
      </w:r>
      <w:r>
        <w:rPr>
          <w:rFonts w:ascii="Trade Gothic;sans-serif" w:hAnsi="Trade Gothic;sans-serif"/>
          <w:b w:val="false"/>
          <w:i/>
          <w:color w:val="000000"/>
          <w:sz w:val="19"/>
        </w:rPr>
        <w:t xml:space="preserve">inter partes </w:t>
      </w:r>
      <w:r>
        <w:rPr>
          <w:rFonts w:ascii="Trade Gothic;sans-serif" w:hAnsi="Trade Gothic;sans-serif"/>
          <w:b w:val="false"/>
          <w:color w:val="000000"/>
          <w:sz w:val="19"/>
        </w:rPr>
        <w:t>review, or post-grant review, or oppositions or similar proceedings outside the United States, in parallel with litigation or even outside the context of litigation. Additionally, delays caused by the federal agencies may increase the period that we are subject to such claims. For example, administrative changes, including reduced personnel, change of personnel and budgets experienced by the Patent and Trial Appeal Board, could further delay our ability to timely challenge any such patents. The outcome following legal assertions of invalidity and unenforceability is unpredictable. In any patent infringement proceeding, there is a risk that even if the validity of such patents is upheld, the court will construe the patent’s claims narrowly or decide that we do not have the right to stop the other party from using the invention at issue on the grounds that it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co-owned or any future licensors’ patents could limit our ability to assert our or any future licensors’ patents against those parties or other competitors and may curtail or preclude our ability to exclude third parties from making, importing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have rights to the inventions covered by our licenses or future licenses. Our current or future licensors may have relied on third-party consultants or collaborators or on funds from third parties, such as the U.S. government, such that our licensors are not the sole and exclusive owners of the patents we in-license. If third parties have ownership rights or other rights to our co-owned licensed patents or patent applications, they may be able to license such patents or patent applications to our competitors, and our competitors could market competing products and technology. This could adversely affect our competitive position,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are not violating rights of a third party. We cannot be certain that there is no invalidating prior art to our patents or licensed patents, of which we, our licensors, and the patent examiner were unaware during prosecution. For any patents and patent applications that we may license from third parties, we may have limited or no right to participate in the defense of such licensed patents against challenge by a third 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0335"/>
                <wp:effectExtent l="0" t="0" r="0" b="0"/>
                <wp:wrapNone/>
                <wp:docPr id="45" name="Frame4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prevent, alone or with our licensors or licensees, misappropriation of our intellectual property rights, particularly in countries of where we have or have not filed our patent applications where the laws may not protect those rights as fully as in the United States. Our business could be harmed if in litigation, the prevailing third-party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competition in our industry is intense, competitors may infringe or otherwise violate our co-owned licensed patents or other intellectual property. To counter infringement or unauthorized use, we may be required to file a lawsuit, which can be expensive and time consuming, and could distract our technical and management personnel from their normal responsibilities. Any claims we assert against perceived infringers could provoke these parties to assert counterclaims or file administrative actions against us alleging that we infringe their patents or that our patents are invalid. In addition, in a patent infringement proceeding, a court may decide that our patent is invalid or unenforceable, in whole or in part, construe the patent’s claims narrowly or refuse to stop the other party from using the technology at issue on the grounds that our patents do not cover the technology in question. An adverse result in any litigation proceeding or administrative action could put one or more of our patents at risk of being invalidated or interpreted narrowly. Our competitors may assert invalidity on various grounds, including lack of novelty, obviousness or that we were not the first applicant to file a patent application related to our product. We may elect to enter into license agreements in order to settle patent infringement claims or to resolve disputes before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commencement of such a proceeding, results of hearings, motions or other interim proceedings or developments. If securities analysts or investors perceive these results to be negative, it could have an adverse effect on the price of our common stock. Moreover, we cannot be assured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 party is infringing our patents, any patents that may be issued as a result of our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in relation to the third-party activities. Such actions, while prudent, may impact our ability to enforce our patents or recover damages in future proceedings or litigations.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protect our intellectual property rights in the United States and foreign jurisdictions which we have filed for intellectual property protection, which could impair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Patents are of national or regional effect, and filing, prosecuting, and defending patents covering our BIM-IOL System and any future product candidate throughout the world would be prohibitively expensive; therefore, we have pursued patent coverage in the United States, and in a limited number of foreign jurisdictions. In addition, the laws of some foreign countries do not protect intellectual property rights to the same extent as federal and state laws in the United States, even in jurisdictions where we are pursuing patent protection. Consequently, we may not be able to prevent third parties from practicing our or any future owned or licensed inventions in all countries outside the United States, even in jurisdictions where we pursue patent protection, or from selling or importing products made using our or any future inventions in and into the United States or foreign jurisdictions. Competitors may use our or any future technologies in jurisdictions where we have not obtained patent protection to develop their own products and, further, may export otherwise infringing products to territories where we may have or are seeking to obtain patent protection, but where patent enforcement is not as strong as that in the United States. These third-party competitors’ products may compete with our product candidates in such jurisdictions and take away our market share where we do not have any issued or licensed patents and any future patent claims, and other intellectual property rights may not be effective or sufficient to prevent them from manufacturing.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0335"/>
                <wp:effectExtent l="0" t="0" r="0" b="0"/>
                <wp:wrapNone/>
                <wp:docPr id="46" name="Frame4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protection, which could make it difficult for us to stop the infringement of our patents, or manufacturing of our product or future products, or marketing of competing products in violation of our intellectual property and proprietary rights generally. We currently have no patents or patent applications filed or pending in developing countries. In certain developing countries, companies could manufacture, sell and/or use our BIM-IOL System or future product without infringement. In addition, certain jurisdictions do not protect to the same extent or at all inventions that constitute methods of treatment.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the jurisdictions of where we seek patent protection may be inadequate to obtain a significant commercial advantage for the product candidates that we develop and market. Furthermore, while we intend to protect our intellectual property rights in our selected significant markets, we have limited resources and cannot ensure that we will be able to initiate or maintain similar efforts in all jurisdictions in which we may wish to market our BIM-IOL System or our other product candidates. Accordingly, our efforts to protect our intellectual property rights in such countries may be inadequate, which may have an adverse effect on our ability to successfully commercialize our BIM-IOL System or any of our future product candidates in all of our selected significant foreign markets.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in the foreign jurisdictions of which we seek patent protection and intend to market our BIM-IOL System and other future products. 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maintenance of issued patents in Russia. These actions could result in abandonment or lapse of our future Russian patents or patent applications, resulting in partial or complete loss of patent rights in Russia.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products and our patents or other IP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0335"/>
                <wp:effectExtent l="0" t="0" r="0" b="0"/>
                <wp:wrapNone/>
                <wp:docPr id="47" name="Frame4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protect the confidentiality of our trade secrets, our business and competitive position would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to the protection afforded by patents, we may seek to rely on trade secret protection to protect proprietary know-how that is not patentable, processes for which patents are difficult to enforce, processes that are better protected by trade secret than a limited patent term,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and we have confidential agreements with respect to our trade secrets,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As a result, we may encounter significant problems in protecting and defending our intellectual property both in the United States and in foreign jurisdictions where we seek to maintain protection of our trade secrets.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Claims that we have misappropriated the confidential information or trade secrets of third parties could have a similar negative impact on our business. Intellectual property litigation may lead to unfavorable publicity that harms our reputation and causes the market price of our common shares to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we expect to collaborate with third parties on the continuing development of the BIM-IOL System and any future product candidates, we must, at times, share trade secrets with them. We also expect to conduct research and development (R&amp;D) programs that may require us to share trade secrets under the terms of our partnerships or agreements with CROs. We seek to protect our proprietary technology in part by entering into agreements containing confidentiality and use restrictions and obligations, including material transfer agreements, consulting agreements, manufacturing and supply agreements, confidentiality agreements or other similar agreements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by us when working with third parties, the need to share trade secrets and other confidential information increases the risk that such trade secrets become known to unauthorized personnel or by our competitors, are inadvertently incorporated into the technology of others, or are disclosed or used in violation of these contractual agreements. Given that our proprietary position is based, in part, on our know-how and trade secrets, a competitor’s discovery of our trade secrets or other unauthorized use or disclosure could impair our competitive position and may have an adverse effect on our business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these agreements typically restrict the ability of our advisors, employees, third-party contractors, CMOs, CROs, other service providers and consultants to publish data potentially relating to our trade secrets, because our agreements contain certain limited publication rights. Despite our efforts to protect our trade secrets, our trade secrets and other know-how may get published by advisors, employees, third-party contractors, CMOs, CROs, other service providers or consultants.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could impair our competitive position and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to investigate and pursue action against this unauthorized disclosure,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including confidential aspects of methods of manufacturing, assembly and related processes, are based on unpatented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0335"/>
                <wp:effectExtent l="0" t="0" r="0" b="0"/>
                <wp:wrapNone/>
                <wp:docPr id="48" name="Frame4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our employees, consultants or independent contractors have wrongfully used or disclosed confidential information of their former employers or other third parties or claims asserting ownership of what we regard as our own intellectual property.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employ individuals who were previously employed at other biotechnology, pharmaceutical, medical technology and ophthalmology companies, or at research institutions, including our competitors or potential competitors. Although we take steps to ensure that our employees, consultants and advisors comply with any ongoing obligations to former employers and other third-parties, and do not use the proprietary information or know-how of third parties, including former employers, in their work for us, we may be subject to claims that these individuals have violated their contractual obligations with former employers or other third party and/or improperly retained proprietary information of a former employer, or such individuals or we have used or disclosed intellectual property, including trade secrets or other proprietary information, of any such individual’s former employer. We may be subject to claims that we or our employees, consultants or independent contractors have inadvertently or otherwise used or disclosed confidential information of our employees’ former employers or other third parties or used this information in their employment or other engagement with us. Litigation may be necessary to defend against these claims. For example, we are currently a defendant in a litigation filed by one of our competitors, Glaukos Corporation, in the United States District Court for the Central District of California alleging, among other claims, that we and one of our employees misappropriated Glaukos’ trade secrets and confidential information. If we fail in defending any such claims, in addition to paying monetary damages, we may lose valuable intellectual property rights or be enjoined from using or relying on certain intellectual property. An inability to incorporate such technologies or features would harm our business and may prevent us from successfully commercializing our technologies, our BIM-IOL System or our other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consultants or independent contractors may wrongfully use or disclose confidential information of ours to the public or third-party competitor and we could fail to protect potential intellectual property rights and other important information identified in the confidential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seek to protect our confidential information by ensuring that our agreements with our employees, collaborators, and other third parties with whom we do business include provisions requiring non-disclosure of confidential information, our employees, collaborators, and other third parties with whom we do business could disclose our confidential information to the public or third-party competitors. Disclosure of our confidential information related to the SpyGlass Platform, the BIM-IOL System, or any other current or future product candidates could harm our business. Litigation or other courses of action may be needed to enforce our contract against our employees, former employees, collaborators, or other third parties with whom we do business. This would divert significant resources and funding to enforce such an action. These disclosures of confidential information could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former employers, consultants or other third parties have an ownership interest in our patents or patent applications as an inventor or co-inventor.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may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 candidates, services, or technologies.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BIM-IOL System or our other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There is no guarantee of success in defending these claims, and if we fail in defending any such claims, in addition to paying monetary damages, we may lose valuable intellectual property rights, such as exclusive ownership of, or right to use, valuable intellectual property. Such challenges may also result in our inability to develop, manufacture or commercialize our technologies, our BIM-IOL System and our other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Even if we are successful,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0335"/>
                <wp:effectExtent l="0" t="0" r="0" b="0"/>
                <wp:wrapNone/>
                <wp:docPr id="49" name="Frame4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could result in substantial cost and be a distraction to our management and other employees. Any of the foregoing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trademarks, future trademarks and trade names are not adequately protected, then we may not be able to build brand recognition in our markets of interest and our business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intend to use registered or unregistered trademarks or trade names to brand and market ourselves and our product candidates. Our trademarks or trade names may be challenged, infringed, circumvented or declared generic or determined to be infringing on other marks. During trademark registration proceedings, we may receive rejections of our applications by the USPTO or in other foreign jurisdictions of which we seek trademark protection.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effort to identify a suitable proprietary product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rights do not necessarily address all potential threats to our competitive advantage.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formulations and compositions of therapeutic agents used in our BIM-IOL System and any future product candidates may be old, unable to obtain patent protection, may be in the public domain and we may not be able to preclude others from using active ingredients of our BIM-IOL System and any future product candidates in third-party ophthalmic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formulations or compositions that are the same as or similar to our current and future active ingredients of use in our BIM-IOL System and any future product candidates, but that are not covered by the pending patent applications or patents that we co-own or any pending patent applications or patents that we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product that is similar to our current and future product candidates we intend to commercialize that is not covered by the patents that we exclusively licensed and have the right to enforce;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any of our future licensors or collaborators might not have been the first to make the inventions covered by the patents or pending patent applications that we co-own or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or any of our future licensor might not have been the first to file patent applications covering certain of our or their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0335"/>
                <wp:effectExtent l="0" t="0" r="0" b="0"/>
                <wp:wrapNone/>
                <wp:docPr id="50" name="Frame5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independently develop similar or alternative technologies or duplicate any of our technologies without infringing or otherwise violating our owned intellectual property rights or any patent applications that we may 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it is possible that our pending patent applications or those that we may own or license in the future will not result in a patent;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be revoked, modified or held valid or unenforceable, as a result of legal challenges by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not provide us with any competitive advantages;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have access to the same intellectual property rights licensed to us in the future on a non-exclusive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might conduct research and development activities in the United States and other countries that we seek patent protection for our inventions,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develop additional proprietary technologies that are patentable;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cannot predict the scope of protection of any patent based on our or any future licensors’ patent applications, including whether the patent applications that we co-own, or, in the future, in-license will result in a patent with claims directed to our BIM-IOL System or our other product candidates or uses thereof in the United States or in other foreign countries of which we seek patent protection;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claims of any patent based on our patent applications may not provide protection against competitors or any competitive advantages, or may be challenged by third parties;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enforced, a court may not hold that our patents are valid, enforceable or infringed;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need to initiate litigation or administrative proceedings to enforce and/or defend our patent rights which will be costly whether we win or lose;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fail to adequately protect and police our trademarks and trade secrets;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patents of others may have an adverse effect on our business, including if others obtain patents claiming subject matter similar to or an improvement on inventions covered by our patent applications.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our obligations under any license, collaboration or other agreements, such agreements may be terminated, we may be required to pay damages, and we could lose intellectual property rights that are necessary for developing and protecting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rely on certain intellectual property rights licensed from third parties for the development and commercialization of our BIM-IOL System and our other product candidates, including under the License Agreement described above. We may in the future also need to obtain additional licenses or otherwise acquire development or commercialization rights to current and future product candidates or data from third parties.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 candidates that are covered by the licensed technology or enable a competitor to gain access to the licensed technology.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0335"/>
                <wp:effectExtent l="0" t="0" r="0" b="0"/>
                <wp:wrapNone/>
                <wp:docPr id="51" name="Frame5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Disputes may arise between us and our licensors regarding intellectual property subject to a license agreement,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of rights granted under the license agreement and other interpretation-related issues;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or other obligations under the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whether and the extent to which our technology and processes infringe on intellectual property of the licensor that is not subject to or covered by the licensing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sublicense patents and other rights under our grant of manufacture and sales and collaborative development relationships to third party sublicensees;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sublicensees rights to further sublicense rights under our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diligence obligations with respect to the use of the licensed technology in relation to our development and commercialization of our BIM-IOL System and future product candidates, and what activities satisfy those diligence obligations;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transfer or assign the license to a third party;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inventorship or ownership of inventions and know-how resulting from the joint creation or use of intellectual property by any of our licensors and us and our partners;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priority of invention of patented technology.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disputes over intellectual property that we license prevent or impair our ability to maintain our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certain of our current or future agreements with third parties may limit or delay our ability to consummate certain transactions, may impact the value of those transactions, or may limit our ability to pursue certain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we or our current or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listings, ownership, claim scope, timely filed responses, timely paid fees, timely filed terminal disclaimers and other filings, submissions of relevant references, or timely requests for patent term adjustments. If our current or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a patent or a valid or enforceable patent if challenged. Any of these outcomes could impair our ability to prevent competition from third parties, which may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even where we have the right to control patent prosecution of patents and patent applications under a license, we may still be adversely affected or prejudiced by actions or inactions of our predecessors or licensors and their counsel that took place prior to us assuming control over patent prosecution.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acquired technologies and current or future licensed technology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Results of future research covered by or relevant to our co-owned licensed patent rights could be disclosed in a public forum prior to our being able to file a patent application to protect any new discoveries resulting from such research and could result in the inability to protect these inventions in the United States or desired foreign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If we are limited in our ability to utilize acquired technologies or current or future licensed technologies, or if we lose our rights to critical acquired or in-licensed technology, we may be unable to successfully develop, out-license, market and sell our product candidates, which could prevent or delay new product introductions. Our business strategy depends on the successful development of acquired technologies, and current or future licensed technology,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0335"/>
                <wp:effectExtent l="0" t="0" r="0" b="0"/>
                <wp:wrapNone/>
                <wp:docPr id="52" name="Frame5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commercial products. Therefore, any limitations on our ability to utilize these technologies may impair our ability to develop, out-license or market and sell any product candidate.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collaboration or partnership arrangements that we may enter into in the future may not be successful, which could adversely affect our ability to develop and commercialize our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have significant discretion in determining the efforts and resources that they will apply to collaborations;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could independently develop, or develop with third parties, products that compete directly or indirectly with our current and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grant exclusive rights to our collaborators that would prevent us from collaborating with others;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disputes may arise between us and a collaborator that cause delay or termination of the research, development or commercialization of our current or future product candidates or that results in costly litigation or arbitration that diverts management attention and resources;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collaborations may be terminated, and, if terminated, may result in a need for additional capital to pursue further development or commercialization of the applicable current or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collaborator’s sales and marketing activities or other operations may not be in compliance with applicable laws resulting in civil or criminal proceedings.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license or acquire additional or necessary intellectual property rights or technology from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currently have rights to intellectual property covering our BIM-IOL System and our other product candidates. Because our development programs may in the future require the use of additional proprietary rights held by third parties, the growth of our business may depend in part on our ability to acquire, in-license, or use these third-party proprietary rights. Further, other parties, including our competitors, may have patents and have filed and are likely filing patent applications potentially relevant to our business. In order to avoid infringing these patents, we may find it necessary or prudent to obtain licenses to such patents from such parties.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No assurance can be given that we will be successful in licensing any additional rights or technologies from third parties.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product candidates and could increase the cost, and extend the timelines associated with our development, of such other product candidates, and we may have to abandon development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0335"/>
                <wp:effectExtent l="0" t="0" r="0" b="0"/>
                <wp:wrapNone/>
                <wp:docPr id="53" name="Frame5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relevant program or product candidate.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licensed patents and patent applications may have been or may be in the future supported through the use of U.S. government funding awarded by the National Institute of Health or other federal agency or the FDA Office of Orphan Products Development and the Army Medical Research and Development Command. We may have licensed, or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covered by the government funding for any governmental purpose. In addition, the U.S. government has the right, under certain limited circumstances, to require a patentee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U.S. government also has the right to take title to these inventions if the grant recipient or associated institution fails to disclose the invention to the government, fails to reference the government funding in a patent application or patent,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The U.S. government may require that the inventions be solely produced in the United States or impute substantial tariffs if manufactured in a foreign jurisdiction.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Because of the expense and uncertainty of litigation, we may not be in a position to enforce our intellectual property rights against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0335"/>
                <wp:effectExtent l="0" t="0" r="0" b="0"/>
                <wp:wrapNone/>
                <wp:docPr id="54" name="Frame5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marketing application for our product candidates, the FDA and other comparable foreign regulatory authorities may approve our product candidates for a more limited indication or a narrower patient population than we originally requested. We have not obtained regulatory approval for any product candidate, and it is possible that none of our existing product candidates or any product candidates we may seek to develop in the future will ever obtain regulatory approval. Of the large number of drugs in development, only a small percentage successfully complete the applicable regulatory approval processes and are commercialized.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other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Applications for our product candidates may be delayed or limited or could fail to receive regulatory approval for many reasons,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the design, implementation or results of our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determine that our product candidates are not safe and effective for their intended uses,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population studied in the clinical trial may not be sufficiently broad or representative to assure efficacy and safety in the full patient population for which we seek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clinical data from trials that are conducted at clinical facilities or in countries where the standard of care is potentially different from that of their own country;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our interpretation of data from preclinical studies or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data collected from clinical trials of our product candidates may not be sufficient to support a submission to obtain regulatory approval in the United States or elsewhere;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unable to demonstrate to the FDA or other comparable foreign regulatory authorities that a product candidate’s risk-benefit ratio for its proposed indication is acceptable;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approval policies or regulations of the FDA or other comparable foreign regulatory authorities may significantly change in a manner rendering our clinical data insufficient for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0335"/>
                <wp:effectExtent l="0" t="0" r="0" b="0"/>
                <wp:wrapNone/>
                <wp:docPr id="55" name="Frame5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a submission due to, among other reasons, the content or formatting of the submission.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 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comparable foreign regulatory authorities disagreeing as to the design or implementation of our 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regulatory authorizations to commence a trial or reaching a consensus with regulatory authorities on trial design;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approval from one or more institutional review boards (IRBs);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IRBs refusing to approve, suspending or terminating the trial at an investigational site, precluding enrollment of additional subjects, or withdrawing their approval of the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to clinical trial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sites deviating from trial protocol or dropping out of a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sufficient quantities of product candidate or obtaining sufficient quantities of combination therapies for use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failing to enroll or remain in our trial at the rate we expect, or failing to return for post- treatment follow-up;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choosing an alternative treatment for the indication for which we are developing our product candidates, or participating in competing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lack of adequate funding to continue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experiencing severe or unexpected treatment-related AEs;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occurrence of serious adverse events (SAEs) in trials of the same class of agents conducted by other companies;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selection of clinical end points that require prolonged periods of clinical observation or analysis of the resulting data;</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a facility manufacturing our product candidates or any of their components being ordered by the FDA or comparable foreign regulatory authorities to temporarily or permanently shut down due to violations of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0335"/>
                <wp:effectExtent l="0" t="0" r="0" b="0"/>
                <wp:wrapNone/>
                <wp:docPr id="56" name="Frame5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good manufacturing practice (cGMP) regulations or other applicable requirements, or infections or cross-contaminations of product candidates in the manufacturing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manufacturing process that may be necessary or desired;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not performing data collection or analysis in a timely or accurate manner;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Clinical trials must be conducted in accordance with the FDA’s and other applicable regulatory authorities’ legal requirements,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0335"/>
                <wp:effectExtent l="0" t="0" r="0" b="0"/>
                <wp:wrapNone/>
                <wp:docPr id="57" name="Frame5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Enrollment and/or retention of patients in clinical trials is an expensive and time-consuming process subject to various external factors beyond our control that may cause delays in the clinical development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timely completion of clinical trials in accordance with their protocols depends, among other things, on our ability to enroll a sufficient number of eligible patients who remain in the trial until its conclusion.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Patient enrollment is a significant factor in the timing of clinical trials. We completed enrollment in our Phase 1/2 multi-center, randomized clinical trial in November 2024 and subsequently initiated and are currently enrolling two registrational Phase 3 clinical trials. Any difficulties we experience relating to enrollment in any clinical trial could delay the clinical development of our product candidates and our planned timeline to submit an NDA to the FDA.</w:t>
      </w:r>
    </w:p>
    <w:p>
      <w:pPr>
        <w:pStyle w:val="TextBody"/>
        <w:bidi w:val="0"/>
        <w:spacing w:lineRule="auto" w:line="288" w:before="0" w:after="240"/>
        <w:jc w:val="left"/>
        <w:rPr/>
      </w:pPr>
      <w:r>
        <w:rPr>
          <w:rFonts w:ascii="Trade Gothic;sans-serif" w:hAnsi="Trade Gothic;sans-serif"/>
          <w:b w:val="false"/>
          <w:color w:val="000000"/>
          <w:sz w:val="19"/>
        </w:rPr>
        <w:t>We may experience difficulty in patient enrollment in our clinical trials for a number of reasons.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w:t>
      </w:r>
      <w:r>
        <w:rPr>
          <w:color w:val="000000"/>
        </w:rPr>
        <w:t xml:space="preserve"> </w:t>
      </w:r>
      <w:r>
        <w:rPr>
          <w:rFonts w:ascii="Trade Gothic;sans-serif" w:hAnsi="Trade Gothic;sans-serif"/>
          <w:b w:val="false"/>
          <w:color w:val="000000"/>
          <w:sz w:val="19"/>
        </w:rPr>
        <w:t>candidates. Patient enrollment depends on many other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size and nature of the patient population required for analysis of the trial’s endpoints;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availability and efficacy of approved drugs and other competing therapeutic candidates for the condition under investigation;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patient eligibility and exclusion criteria for the trial in question as defined in the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recruit clinical trial investigators with the appropriate competencies and experience;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design of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perceived risks and benefits of the product candidate under study;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physicians’, surgeons’ and participants’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participant referral practices of physicians and surgeons;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ability to monitor participants adequately during and after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proximity and availability of clinical trial sites for prospective trial patients;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continued enrollment of prospective patients by clinical trial sites;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risk that patients enrolled in clinical trials will drop out of the trials before completion.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hindering their clinical development, and jeopardize our ability to obtain marketing approval for the sale of our product candidates. Furthermore, we expect to rely on CROs and clinical trial sites to ensure the proper and timely conduct of our clinical trials and we will have limited influence over their performance. Even if we are able to enroll a sufficient number of patients for our clinical trials, we may have difficulty maintaining enrollment of such patients in our clinical trials.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Patients in our ongoing and planned clinical trials may in the future suffer SAEs or other side effects not observed in our preclinical studies or previous clinical trials. If SAEs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0335"/>
                <wp:effectExtent l="0" t="0" r="0" b="0"/>
                <wp:wrapNone/>
                <wp:docPr id="58" name="Frame5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undesirable side effects may inhibit market acceptance due to tolerability concerns as compared to other available therapies. Any of these developments could materially harm our business, financial condition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suspend marketing of a product, or we may decide to remove such product from the marketplace;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withdraw or change their approvals of a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create a medication guide outlining the risks of a product for patients, or to conduct post-marketing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change the way a product is administered;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be subject to fines, injunctions, or the imposition of criminal or civil penalties, or be sued and held liable for harm caused to subjects or patients;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product may become less competitive, and our reputation may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we may publicly disclose interim, preliminary or top-line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condition. Preliminary or top-line data also remain subject to FDA audit and verification procedures that may result in the final data being materially different from the preliminary data we previously published. As a result, interim, preliminary and top-line data should be viewed with caution until the final data are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0335"/>
                <wp:effectExtent l="0" t="0" r="0" b="0"/>
                <wp:wrapNone/>
                <wp:docPr id="59" name="Frame5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certain of our product candidates, including our BIM-IOL System will be regulated under the drug provisions of the FDCA, enabling us to submit NDAs for approval of such product candidates in the United States.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 Section 505(b)(2), if applicable to us under the FDCA, would allow an NDA we submit to the FDA to rely in part on data in the public domain or on the FDA’s prior conclusions regarding the safety and effectiveness of approved compounds, which could expedite the development program for our product candidates by potentially decreasing the amount of nonclinical and/or clinical data that we would need to generate in order to obtain FDA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or that such competitor would not obtain regulatory exclusivities from the FDA that could delay potential approval of our product.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pathway will ultimately streamline the development of our product candidates or result in an approval on any timeline.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Additional time may be required to obtain regulatory approval for our product candidates because they are combination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developing our product candidates, including the BIM-IOL System, as drug-led, drug-device combination products. We anticipate that, if successfully developed, our product candidates would be regulated as combination products by the FDA and other regulatory authorities. Combination products require coordination within the FDA and similar foreign regulatory agencies for review of the drug and device components. For example, we expect that the FDA’s review of a marketing application for the BIM-IOL System may include the participation of both the FDA’s Center for Drug Evaluation and Research and the FDA’s Center for Devices and Radiological Health. Although the FDA and similar foreign regulatory agencies have systems in place for the review and approval of drug-led combination products, we may experience delays in the development and commercialization of our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 In addition, to date, the FDA has not requested a separate medical device authorization submission for our IOL and proprietary drug pads. However, the FDA may request a separate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0335"/>
                <wp:effectExtent l="0" t="0" r="0" b="0"/>
                <wp:wrapNone/>
                <wp:docPr id="60" name="Frame6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device submission for the BIM-IOL System in the future or other future product candidates, which could significantly delay the development and commercialization of our combination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methods of product candidate manufacturing or formulation may result in additional costs or delay.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pricing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the pricing of a prescription drug candidate is subject to regulatory approval before it can be sold in that jurisdiction. In some cases, the price that we intend to charge for our products, if approved, is also subject to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if approved,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conducted, are currently conducting, and may in the future conduct, clinical trials for current or future product candidates outside the United States, and the FDA and comparable foreign regulatory authorities may not accept data from such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conducted, are currently conducting, and may in the future conduct, clinical trials outside the United States.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0335"/>
                <wp:effectExtent l="0" t="0" r="0" b="0"/>
                <wp:wrapNone/>
                <wp:docPr id="61" name="Frame6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Even if we receive regulatory approval of our product candidates, we will be subject to ongoing regulatory obligations and continued regulatory oversight,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any regulatory approval for one or more of our product candidates, such product candidates will be subject to ongoing regulatory requirements applicable to manufacturing, labeling, packaging, storage, advertising, promoting, sampling, record-keeping and submission of safety or other post-market information, among other things. Any regulatory approvals that we receive for our product candidates will require surveillance to monitor the safety and efficacy of the product candidate, as well as ongoing compliance with cGMP and GCPs for any clinical trials. The FDA may also require a REMS, limitations on the approved indicated uses for which the drug may be marketed or to the conditions of approval, or requirements that we conduct potentially costly post-market testing and surveillance studies, including post-marketing clinical trials and surveillance to monitor the quality, safety and efficacy of the drug. An unsuccessful post-marketing study or failure to complete such a study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drug manufacturers are subject to payment of user fees and continual review and periodic inspections by the FDA and other regulatory authorities for compliance with cGMP requirements and adherence to commitments made in the NDA or foreign marketing application. If we, the FDA or a comparable foreign regulatory authority, discover previously unknown problems with our product candidates,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Failure to comply with applicable regulatory requirements following approval of any product candidates, may result in,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restrictions on the marketing or manufacturing of our product candidates, withdrawal of the product from the market or voluntary or mandatory product recalls;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delays and supply disruptions where regulatory inspections identify observations of noncompliance requiring remediation;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revisions to the labeling, including limitation on approved uses or the addition of additional warnings, contraindications or other safety information, including boxed warnings;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imposition of a REMS, which may include distribution or use restrictions;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requirements to conduct additional post-market clinical trials to assess the safety of the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suspension or withdrawal of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issuance of fines, untitled letters, warning letters or holds on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refusal by the FDA to approve pending applications or supplements to approved applications filed by us or suspension or revocation of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 seizure or detention, or refusal to permit the import or export of our product candidates;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injunctions or the imposition of civil or criminal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0335"/>
                <wp:effectExtent l="0" t="0" r="0" b="0"/>
                <wp:wrapNone/>
                <wp:docPr id="62" name="Frame6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FDA and other regulatory agencies actively enforce the laws and regulations prohibiting the promotion of off-label uses.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approved products will be narrowly limited to those indications that are specifically approved by the FDA.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Since we use the same drug delivery technology for all of our product candidates, if any of our product candidates demonstrates unanticipated biocompatibility, usability, performance or safety issues in a clinical or nonclinical study, our entire pipeline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of our current product candidates utilize the same sustained release drug delivery technology, which comprise non-bioerodible drug pads that are designed to deliver the drug into the eye without breaking down or changing their structure or shape. While our lead product candidate, the BIM-IOL System, has been well tolerated in clinical trials to date, patients may in the future experience different or more severe AEs. Any failure of a product candidate, or a component thereof, to demonstrate adequate biocompatibility, usability, performance or safety could adversely affect the development, approval, or commercialization of any other product candidate utilizing the same or similar technology, including a suspension or delay of all ongoing development for future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product candidates we develop may become subject to unfavorable third-party coverage and reimbursement policies, as well as pricing regulations.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any of our product candidates that receive marketing approval will depend substantially, both in the United States and internationally, on the extent to which the costs of our product candidates will be covered and reimbursed by government and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There is significant uncertainty related to government and third-party payor coverage and reimbursement of newly approved products. In the United States, for example, the Centers for Medicare &amp; Medicaid Services (CMS), an agency within the U.S. Department of Health and Human Services (HHS), determines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if approved, to each third-party payor separately, with no assurance that coverage and adequate reimbursement will be applied consistently or obtained in the first instance.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anticipate that third-party payors will cover and reimburse providers for the bimatoprost delivered using the BIM-IOL System, if approved, similar to other physician-administered drugs. J-Codes are codes maintained by CMS, which are a component of the Healthcare Common Procedure Coding System and are typically used to report injectable drugs that ordinarily cannot be self-administered. We do not have a specific J-Code for any of our product candidates. If our product candidates are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0335"/>
                <wp:effectExtent l="0" t="0" r="0" b="0"/>
                <wp:wrapNone/>
                <wp:docPr id="63" name="Frame6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since our drug delivery technology is implanted into the eye via an existing procedure (cataract surgery) we believe that physicians will be able to use the existing Category I Current Procedural Terminology (CPT) codes without needing to establish a new procedure code. The CPT Editorial Panel, appointed by the American Medical Association (AMA) Board of Trustees, is responsible for maintaining and updating the CPT code set. We may apply for a new add-on Category III CPT code for the loading, implantation and position of the Drug Pad-IOL System. Category III codes are a set of temporary codes maintained by the AMA for emerging technology, services and procedures. Payment for these services or procedures are based on the coverage policies of individual payors, including private insurers and government-funded programs.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candidates.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if approved, may be reduced compared with the United States and may be insufficient to generate commercially reasonable revenue and profits. If we are unable to establish or sustain coverage and adequate reimbursement for any future product candidates from government and third-party payors, the adoption of those products and sales revenue will be adversely affected, which, in turn, could adversely affect the ability to market or sell those product candidates, if approved. Coverage policies and government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Disruptions at the FDA, the Securities and Exchange Commission (the SEC) and other government agencies caused by funding shortages, global health concerns, staffing limitations or otherwise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0335"/>
                <wp:effectExtent l="0" t="0" r="0" b="0"/>
                <wp:wrapNone/>
                <wp:docPr id="64" name="Frame6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face difficulties from changes to current regulations and future legislation.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United States,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(ACA), was enacted in 2010. The ACA contains a number of provisions, including those governing enrollments in federal healthcare programs, reimbursement changes and fraud and abuse measures, all of which will impact existing government healthcare programs and will result in the development of new programs. Since its enactment, there have been judicial, executive and Congressional challenges to certain aspects of the ACA. In June 2021, the U.S. Supreme Court dismissed the most recent judicial challenge to the ACA without specifically ruling on the constitutionality of the ACA. Thus, the ACA remains in force in its current 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2021,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set a price that we believe is fair for our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our ability to generate revenue and achieve or maintain profitability;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availability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0335"/>
                <wp:effectExtent l="0" t="0" r="0" b="0"/>
                <wp:wrapNone/>
                <wp:docPr id="65" name="Frame6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HHS has and will continue to issue and update guidance as these programs are implemented, although the Medicare drug price negotiation program is currently subject to legal challenges. Various industry stakeholders, including certain pharmaceutical companies and the Pharmaceutical Research and Manufacturers of America, have initiated lawsuits against the federal government asserting that the price negotiation provisions of the IRA are unconstitutional.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Such cost containment policies and executive orders could substantially and negatively impact the prices we may charge for any approved products, which could harm our valuation, ability to generate revenue and achieve and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 One Big Beautiful Bill Act (OBBBA), which was signed into law in July 2025, includes provisions that will impact the U.S.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and/or prevent us from being able to generate revenue, attain profitability, or commercialize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0335"/>
                <wp:effectExtent l="0" t="0" r="0" b="0"/>
                <wp:wrapNone/>
                <wp:docPr id="66" name="Frame6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obtaining regulatory approval for any of our product candidates. Some states have also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serious public health risks of certain AEs that may be associated with certain drug products, the FDA may require, as a condition of approval, costly REMS, which may include safety surveillance, restricted distribution and use, patient education, enhanced labeling, special packaging or labeling, expedited reporting of certain AEs, preapproval of promotional materials and restrictions on direct-to-consumer advertising.</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Healthcare providers and third-party payors play a primary role in the recommendation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 candidates for which we obtain marketing approval. The applicable federal, state and foreign healthcare laws and regulations that may affect our ability to operate include, but are not limited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A person or entity does not need to have actual knowledge of the federal Anti-Kickback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false claims, including the civil False Claims Act (the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 Moreover, the government may assert that a claim including items or services resulting from a violation of the federal Anti-Kickback Statute constitutes a false or fraudulent claim for purposes of the civil False Claims Act;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0335"/>
                <wp:effectExtent l="0" t="0" r="0" b="0"/>
                <wp:wrapNone/>
                <wp:docPr id="67" name="Frame6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Open Payments program under the Physician Payments Sunshine Act, which requires certain manufacturers of covered drugs, devices, biologics and medical supplies for which payment is available under Medicare, Medicaid or the Children’s Health Insurance Program (with certain exceptions) and applicable group purchasing organizations to report annually to CMS information related to payments or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(as defined above) and their immediate family members;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and state laws that require biotechnology companies to report information on the pricing of certain drug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drug delivery and/or medical device products is subject to additional requirements and regulations, including extensive record-keeping, licensing, storage and security requirements intended to prevent the unauthorized sale of pharmaceutical, drug delivery and/or medical device products. Products must meet applicable child-resistant packaging requirements under the U.S. Poison Prevention Packaging Act as well as other applicable consumer safety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 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0335"/>
                <wp:effectExtent l="0" t="0" r="0" b="0"/>
                <wp:wrapNone/>
                <wp:docPr id="68" name="Frame6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global data protection landscape is rapidly evolving, and we are or may become subject to numerous state, federal and foreign laws, regulations, standards and other requirements governing the collection, use, disclosure, retention, processing and security of personal information, such as information collected or otherwise processed in connection with clinical trials. Implementation standards and enforcement practices are likely to remain uncertain for the foreseeable future, and we cannot yet determine the impact future laws, regulations, standards or other requirements, or perception of their respective obligations may have on our business. This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 cost of compliance with these laws, regulations, standards and other requirements is high and is likely to increase in the future. Any failure or perceived failure by us to comply with federal, state or foreign laws or regulations, our internal policies and procedures, our contracts, applicable standards or other actual or asserted requirements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our operations and business grow, we may become subject to or affected by new or additional laws, regulations, standards and other requirements applicable to the processing of personal information and face increased scrutiny or attention from regulatory authorities. For example, in the United States, HIPAA imposes, among other things, certain standards relating to the privacy, security, transmission and breach reporting of individually identifiable health information. Certain states have also adopted other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 behalf. Similar laws have been passed in other states and are continuing to be proposed at the state and federal level, and the U.S. Department of Justice has issued regulations restricting, and in certain cases prohibiting, certain transfers of sensitive personal information. Some U.S. states also have enacted laws and regulations addressing specific categories of data, such as Washington’s My Health, My Data Act, which, among other things, provides for a private right of action. Collectively, these reflect a trend toward more stringent privacy legislation in the United States. The enactment of such laws could have potentially conflicting requirements that would make compliance challenging. Additional compliance investment and potential business process changes may be required.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Although we work to comply with applicable laws, regulations and standards, our contractual obligations and other legal obligations, these and other actual or potentially asserted requirements are evolving and may be modified, interpreted and applied in an inconsistent manner from one jurisdiction to another, and may conflict with one another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0335"/>
                <wp:effectExtent l="0" t="0" r="0" b="0"/>
                <wp:wrapNone/>
                <wp:docPr id="69" name="Frame6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or other legal obligations. Any failure or perceived failure by us or our employees, representatives, contractors, consultants, collaborators or other third parties to comply with such requirements or adequately address concerns relating to privacy, security or data protection, even if unfounded, could result in additional cost and liability to us, damage our reputation and adversely affect our business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success is highly dependent on our ability to attract and retain highly skilled executive officers and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product candidates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including Dr. Kahook, our co-founder, president, chief medical officer and executive chair,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of March 31, 2026, we had 68 full-time employees. We will need to expand our organization, and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0335"/>
                <wp:effectExtent l="0" t="0" r="0" b="0"/>
                <wp:wrapNone/>
                <wp:docPr id="70" name="Frame7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rely, and expect to continue to rely, on third parties, including independent clinical investigators and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relied upon and plan to continue to rely upon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scientific standards, and laws and regulations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these investigators and CROs are not our employees and we will not be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are not substantially dependent on any individual CRO arrangement, if any of our relationships with these third-party CROs terminate, we may not be able to enter into arrangements with alternative CROs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We contract with third parties for the manufacture of our product candidates for preclinical studies and our ongoing clinical trials and expect to continue to do so for additional clinical trials and ultimately for commercialization. This reliance on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0335"/>
                <wp:effectExtent l="0" t="0" r="0" b="0"/>
                <wp:wrapNone/>
                <wp:docPr id="71" name="Frame7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parties increases the risk that we will not have sufficient quantities of our product candidates for clinical development or such quantities at an acceptable cost, which could delay, prevent or impair our development or commercialization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own any manufacturing facilities and do not currently have the infrastructure or internal capability to manufacture supplies of our product candidates for use in development and commercialization. We rely, and expect to continue to rely, on third party manufacturers for the production of our product candidates for preclinical studies and clinical trials under the guidance of members of our organization. We manufacture our product candidates for clinical development at our CMOs and source materials used in our product candidates from third parties and formulate them in a proprietary manufacturing process that we developed. We source IOLs manufactured to our specification from an ISO13485:2016-certified and FDA-registered CMO with a long history of producing commercial IOLs through a supply agreement with a 2-year notification period. We seek to strategically maintain sufficient levels of inventory to help mitigate supply disruption, to accommodate varying demand mix and to achieve more efficient volume-based pricing on our components; however, we may not be accurate in our estimates, which could result in insufficient inventory to meet clinical demand or excess inventory.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rely on third-party manufacturers for the commercial supply of any of our product candidates for which we obtain marketing approval. There are a limited number of manufacturers that operate under cGMP regulations and that are both capable of manufacturing for us and willing to do so.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reduction or termination of production or deliveries by suppliers, or the raising of prices or renegotiation of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termination or nonrenewal of arrangements or agreements by our third-party contractors at a time that is costly or inconvenient for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breach by the third-party contractors of our agreements with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reduced day-to-day control over the manufacturing process for our product candidates as a result of using third-party manufacturers for all aspects of manufacturing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third-party contractors to comply with applicable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specifications;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mislabeling of clinical supplies, potentially resulting in the wrong dose amounts being supplied or active drug or placebo not being properly identified;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misappropriation of our proprietary information, including our trade secrets and know-how.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complete control over all aspects of the manufacturing process of, and are dependent on, our CMOs for compliance with cGMP regulations for manufacturing both active drug substances and finished drug products. Third-party manufacturers may not be able to comply with cGMP regulations or similar regulatory requirements outside of the United States.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Any problems or delays we or our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0335"/>
                <wp:effectExtent l="0" t="0" r="0" b="0"/>
                <wp:wrapNone/>
                <wp:docPr id="72" name="Frame7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impairment of clinical development and commercialization of our product candidates and could adversely affect our business. Furthermore, if any of our product candidates are approved and we or our CMOs fail to deliver the required commercial quantities of such product on a timely basis and at reasonable costs, we would likely be unable to meet demand for our products and we would lose potential revenues, which would adversely affect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CMOs’ manufacturing facilities may also be unable to comply with our specifications, cGMP, or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 candidates to specifications acceptable to the FDA or other regulatory authorities, or in accordance with the strict regulatory requirements, we may not obtain or maintain the approvals we need to commercialize such product candidates. For example, manufacturing facilities generally must submit to FDA pre-approval inspections that will be conducted after we submit marketing applications, including our planned NDAs, to the FDA, and any inability on the part of our CMOs to successfully complete such pre-approval inspections could delay or prevent commercialization of our product candidates.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if approved, commercial sales or the temporary or permanent closure of a facility. Any such remedial measures imposed upon us or third parties with whom we contract could materially harm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any approved products, clinical holds or termination of clinical trials, warning or untitled letters, regulatory authority communications warning the public about safety issues, refusal to permit the import or export of such products, product seizure, detention, or recall, operating restrictions, suits under the civil False Claims Act, corporate integrity agreements, consent decrees, or withdrawal of product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engage in acquisitions, in-licensing or strategic partnerships in the future, this may increase our capital requirements, dilute our stockholders, cause us to incur debt or assume contingent liabilities and subject us to other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engage in various acquisitions and strategic partnerships in the future, including additional licensing arrangements with third parties or acquiring complementary products or product candidates, intellectual property rights, technologies or businesses, joint ventures or other collaborations. Any acquisition or strategic partnership may entail numerous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increased operating expenses and cash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assumption of indebtedness or contingent liabilities;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issuance of our equity securities which would result in dilution to our stockholders;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assimilation of operations, intellectual property, products and product candidates of an acquired company, including difficulties associated with integrating new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diversion of our management’s attention from our existing product candidates and initiatives in pursuing such an acquisition or strategic partnership or in order to manage a collaboration or develop acquired products, product candidates, or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retention of key employees, the loss of key personnel, and uncertainties in our ability to maintain relationships with key suppliers, manufacturers or customers and any other key business relationships of any acquired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0335"/>
                <wp:effectExtent l="0" t="0" r="0" b="0"/>
                <wp:wrapNone/>
                <wp:docPr id="73" name="Frame7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risks and uncertainties associated with the other party to such a transaction, including the prospects of that party and their existing products or product candidates and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higher than expected collaboration, acquisition or integration costs, write-downs of assets or goodwill or impairment charges;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inability to generate revenue from acquired intellectual property, technology and/or product candidates sufficient to meet our objectives or even to offset the associated transaction and maintenance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if we undertake such a transaction, we may incur large one-time expenses and acquire intangible assets that could result in significant future amortization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result, if we enter into acquisitions, in-licensing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an acquisition, strategic transaction or license, we will achieve the revenue or specific net income that justifies such transaction or such other benefits that led us to enter into the arrangement.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included elsewhere in this Quarterly Report,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our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 In particular, we concluded that we had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this material weakness in our internal control over financial reporting, including hiring additional accounting personnel to assume transaction level responsibilities to appropriately segregate duties between preparers and reviewers.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public company, we are required to file annual and quarterly reports containing our financial statements and are subject to the requirements and standards set by the SEC, the Public Company Accounting Oversight Board (PCAOB) and Nasdaq. If we fail to remediate our material weaknesses or to otherwise develop and maintain adequate internal control over financial reporting, we could fail to timely and accurately report our financial results or prevent fraud, have to restate our financial statements or have our stock delisted. Any such failure could also adversely affect the results of periodic management evaluations regarding the effectiveness of our internal control over financial reporting that will be required when the SEC's rules under Section 404 of the Sarbanes-Oxley Act of 2002 become applicable to us beginning with our annual report on Form 10-K for the year following our first annual report on Form 10-K required to be filed with the SEC. As a result, stockholders could lose confidence in our financial reporting and we could be subject to litigation from investors and stockholders, we could be subject to sanctions or investigations by the SEC, Nasdaq or other regulatory authorities, our access to the capital markets may be restricted and the trading price of our common stock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While we are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material weakness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0335"/>
                <wp:effectExtent l="0" t="0" r="0" b="0"/>
                <wp:wrapNone/>
                <wp:docPr id="74" name="Frame7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internal computer systems, or those of any of our CROs, manufacturers, other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 and potentially significant delays in our delivery to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cloud), and those of our third-party CROs, other contractors (including sites performing our current or future clinical trials) and consultants and other third-party service providers, these systems are from time to time vulnerable to breakdown or other damage, disruption or interruption from service interruptions, system malfunction, power outages, natural disasters, global pandemics, terrorism, vandalism,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viruses, denial-of-service attacks, phishing attacks and other forms of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unauthorized access to, misuse, disclosure, loss, destruction, alteration, dissemination or other processing of, or damage to, our data, including trade secrets or other confidential information, intellectual property, proprietary business information, and personal information. Several companies have also experienced an increase in phishing and social engineering attacks from third parties in recent years. For example, in June 2025, we received fraudulent wire instructions from a bad actor impersonating a third-party vendor, which resulted in our use of incorrect banking information to wire an immaterial amount of funds. Our employees primarily work from the corporate office but also have the ability to work in a hybrid model in our offices and from home, and we may need to adjust our working model from time to time. As a result, we have increased cyber security and data security risks, due to increased use of home wi-fi networks and virtual private networks, as well as increased disbursement of physical machines. While we implement controls designed to reduce the risk of a resulting security breach or other security incident, we may experience security breaches and incidents, and there is no guarantee that the measures we have implemented will be adequate to safeguard all systems and data, especially with an increased number of employees working from home or in a hybrid model where it is more difficult for us to monitor our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cyber-attack, disruption or other security breach or incident, including any such event resulting in any unauthorized, unlawful, or accidental access to, or acquisition, use, corruption, loss, destruction, unavailability, alteration or dissemination of, or damage to, our data (including confidential or personal information) or other data we or any of our CROs, other contractors or consultants or potential future collaborators or other third-party service providers maintain or otherwise process, or our applications, or for it to be believed or reported that any of these occurred, could result in us incurring liability and reputational damage and delays in the development and commercialization of our product candidates. For example, if a security incident were to result in interruptions in our operations, it could result in a material disruption of our programs and the development of our product candidates could be delayed. In addition, the loss or unavailability of clinical trial data for our product candidates could result in delays in our marketing approval efforts and significantly increase our costs to recover or reproduce the data. Furthermore, disruptions of our internal information technology systems or those of third parties used in our business, or security breaches or incidents impacting us or any of our CROs, other contractors or consultants or potential future collaborators or other third-party service providers, could result in the loss, misappropriation, and/or unauthorized access, use, or disclosure of, or the inability to access, data (including trade secrets or other confidential information, intellectual property, proprietary business information, and personal information), which could result in financial, legal, business, and reputational harm to us. Unauthorized access to, or use, disclosure or other processing of personal information, including personal information regarding our clinical trial subjects or employees, could harm our reputation directly, compel us to notify individuals or regulators under data breach notification laws, cause us to incur costs related to investigation of the incident (including legal expenses, forensic examination costs, and remediation costs),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expect to incur significant costs in our efforts to detect, prevent, and respond to security incidents. We also rely on third parties to manufacture our product candidates, and similar events relating to their systems could also have a material adverse effect on our business. There have been and may continue to be significant supply chain attacks and operational technology attacks globally, and we cannot guarantee that our systems or those of third-party service providers or other third parties that support us or our operations have not been subject to security breaches or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0335"/>
                <wp:effectExtent l="0" t="0" r="0" b="0"/>
                <wp:wrapNone/>
                <wp:docPr id="75" name="Frame7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or that they do not contain exploitable defects or bugs that could result in a security breach of, security incident impacting or other disruption to, our systems and the systems of third parties that support us and our operations. Any cyber-attack, disruption or other security breach or incident, including any such event resulting in any loss, unavailability, destruction or alteration of, or damage to, our data, or inappropriate acquisition, disclosure or other processing of confidential or proprietary information, could expose us to litigation and governmental investigations and other actions and proceedings, delay further development and commercialization of our product candidates, and result in our being subject to significant fines, penalties or other liabilities. Litigation and governmental investigations or other actions or proceedings could require us to spend money in defense or settlement, divert management’s time and attention, increase our costs of doing business, and/or adversely affect our reputation. We could be required to fundamentally change our business activities and practices in response to such litigation or investigations or other actions or proceedings, which could have an adverse effect on our business. Any actual or perceived inability by ourselves or any of our CROs, other contractors or consultants or potential future collaborators or other third-party service providers to adequately protect data have a material adverse effect upon our reputation, business, operations, or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insurance policies may not be adequate to compensate us for the potential losses arising from any such disruption in or, failure or security breach of, or incident impacting, our systems or third-party systems where information important to our business operations or commercial development is maintained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business could be affected by litigation, government investigations, and enforcement 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data privacy and security,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variety of risks associated with marketing our product candidates internationally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seek to develop regulatory strategies for our product candidates outside the United States and, if we do so, we expect that we or our partners would seek regulatory approval of our product candidates outside of the United States. If we do seek to market our product candidates outside the United States, we will be subject to additional risks related to operating in foreign countries if we or our such partners obtain the necessary approvals,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differing regulatory requirements and pricing regimes in foreign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unexpected changes in tariffs, trade barriers, price and exchange controls and other regulatory requirements;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economic weakness, including inflation, or political instability in particular foreign economies and markets;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compliance with tax, employment, immigration and labor laws for employees living or traveling abroad;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foreign taxes, including withholding of payroll taxes;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foreign currency fluctuations, which could result in increased operating expenses and reduced revenue, and other obligations incident to doing business in another country;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difficulties staffing and managing foreign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workforce uncertainty in countries where labor unrest is more common than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0335"/>
                <wp:effectExtent l="0" t="0" r="0" b="0"/>
                <wp:wrapNone/>
                <wp:docPr id="76" name="Frame7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potential liability under the U.S. Foreign Corrupt Practices Act (FCPA) or comparable foreign regulations;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production shortages resulting from any events affecting raw material supply or manufacturing capabilities abroad;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business interruptions resulting from geopolitical actions, including war and terrorism.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and other risks associated with our international operations or those of any applicable international partners may materially adversely affect our ability to attain or maintain profitable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there was no public market for our common stock. Although our common stock is listed on the Nasdaq Global Select Market under the symbol “SGP,” an active trading market for our common stock may not develop, of if it is developed, may not be sustained and the trading market may be limited.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in the future, we fail to satisfy the continued listing requirements of Nasdaq, such as the corporate governance requirements, the minimum closing bid price requirement or the minimum stockholders’ equity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trading price of our common stock may be highly volatile, and you could lose all or part of your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trading price of our common stock may be highly volatile and could be subject to fluctuations in response to various factors, some of which are beyond our control. The stock market in general and the market for stock of biopharmaceutical companies in particular have experienced extreme volatility that has often been unrelated to the operating performance of particular companies. Factors that could cause fluctuations in the trading price of our common stock include those discussed in this “Risk Factors” section and many others,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results of our clinical trials and preclinical studies, and the results of trials of our competitors or those of other companies in our market sector;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enroll patients in our future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any of our current or future product candidates or additional indications thereof, or limitations to specific label indications or patient populations for its use, or changes or delays in the regulatory review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the structure of healthcare payment systems;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success or failure of our efforts to develop, acquire or license any of our current or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innovations, clinical trial results, product approvals and other developments regarding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announcements by us or our competitors of significant acquisitions, strategic partnerships, joint ventures or capital commitments;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supply or distribution delays or shortages;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relationship with any manufacturers, suppliers, collaborators or other strategic partners;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achievement of expected product sales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0335"/>
                <wp:effectExtent l="0" t="0" r="0" b="0"/>
                <wp:wrapNone/>
                <wp:docPr id="77" name="Frame7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price and volume fluctuations in the overall stock market from time to time;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sales of shares of our common stock by us, our insiders or our stockholders, as well as the anticipation of lock-up releases or expiration of market standoff or lock-up agreements;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recruitment or departure of senior management, directors or key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public’s reaction to our press releases, other public announcements and filings with the SEC;</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rumors and market speculation involving us or other companies in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fluctuations in the trading volume of our shares or the size of our public float;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market conditions in the biopharmaceutical sector and failure of securities analysts to maintain coverage of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litigation involving us, our industry or both;</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governmental or regulatory actions or audits;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or legal developments in the United States and other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general economic, industry, geopolitical and market conditions, such as military conflict or war, inflation and financial institution instability, or pandemic or epidemic disease outbreaks, many of which are beyond our control;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intellectual property, product liability or other litigation against us or our inability to enforce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our capital structure, such as future issuances of securities and the incurrence of debt;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accounting standards, policies, guidelines, interpretations or principles.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 the past, stockholders have initiated class action lawsuits against biopharmaceutical companies following periods of volatility in the market prices of these companies’ stock. This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April 20, 2026, our directors, executive officers, holders of more than 5% of our common stock and their respective affiliates beneficially owned, in the aggregate, approximately 81% of the shares of our outstanding common stock. As a result, these stockholders, if they act together, will be able to influence our management and affairs and all matters requiring stockholder approval, including the election of directors, amendments of our organizational documents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in control of our company and might affect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significant portion of our outstanding shares of common stock is restricted from immediate resale but may be sold into the market in the near future, which could cause the market price of our common stock to decline significantly, even if our business is doing well.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April 20, 2026, we had 33,433,355 shares of common stock outstanding. Of these shares, 10,781,250 shares are freely tradable and substantially all of the remaining shares of common stock will be available for sale in the public market beginning in August 2026 following the scheduled expiration of lock-up agreements that certain of our stockholders and the underwriters entered into in connection with our IPO. Jefferies LLC and Leerink Partners LLC may, in their sole discretion and at any time or from time to time before the termination of the lock-up period release all or any portion of the securities subject to the lock-up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0335"/>
                <wp:effectExtent l="0" t="0" r="0" b="0"/>
                <wp:wrapNone/>
                <wp:docPr id="78" name="Frame7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February 6, 2026, we filed a registration statement on Form S-8 under the Securities Act registering the issuance of 7,756,513 shares of common stock subject to options or other equity awards issued or reserved for future issuance under our equity incentive plans. Subject to the satisfaction of applicable vesting restrictions and the expiration or waiver of the market standoff agreements and lock-up agreements referred to above, the shares issued upon exercise of outstanding stock options will be available for immediate resale in the public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stockholders owning an aggregate of up to 20,341,968 shares of our common stock are entitled, under our investors’ rights agreement, to certain rights with respect to the registration of the offer and resale of those shares under the Securities Act. Registration of these shares under the Securities Act would result in the shares becoming freely tradable without restriction under the Securities Act, except for shares held by affiliates, as defined in Rule 144 under the Securities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our common stock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Until such time, if ever, as we can generate substantial revenues, we expect that we will need additional capital in the future to continue our planned operations, which include conducting clinical trials, pursuing commercialization efforts, expanding research and development activities, and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IPO.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our 2026 Equity Incentive Plan (2026 Plan), our board of directors or its duly authorized committee is authorized to grant equity awards to our employees, directors, and consultants.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Initially, a total of 4,116,060 shares of our common stock were reserved for issuance pursuant to our 2026 Plan, which number is inclusive of shares that remained available for grant under our 2019 Equity Incentive Plan (2019 Plan) as of the effectiveness of the 2026 Plan. In addition, the shares reserved for issuance under our 2026 Plan also includes shares of our common stock subject to or issued pursuant to awards granted under our 2019 Plan that, after the date of stockholder approval of the 2026 Plan, expired or otherwise terminated without having been exercised in full or are forfeited to or repurchased by us due to failure to vest (provided that the maximum number of shares that may be added to the 2026 Plan pursuant to the foregoing is 3,306,187 shares). The number of shares of our common stock reserved for issuance under the 2026 Plan shall be cumulatively increased on the first day of each fiscal year, beginning with our 2027 fiscal year and ending on the ten year anniversary of the date our board of directors approves the 2026 Plan equal to the least of 10,027,967 shares, 5.0% of the total number of shares of our common stock outstanding as of the last day of the immediately preceding fiscal year, or a lesser number of shares determined by the administrator of the 2026 Plan. Unless the administrator of the 2026 Plan elects not to increase the number of shares available for future grant each year, our stockholders may experience additional dilution, which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pursuant to our 2026 Employee Stock Purchase Plan (ESPP), our employees may receive the right to purchase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Initially, the aggregate number of shares of our common stock available for sale under our ESPP is 334,266 shares. The number of shares of our common stock available for sale under our ESPP shall be cumulatively increased on the first day of each fiscal year, beginning with the fiscal year following the fiscal year in which the first enrollment date (if any) occurs under the ESPP and ending on the twenty year anniversary of the date our board of directors approves the ESPP equal to the least of 1,002,797 shares, 1.0% of the total number of shares of our common stock outstanding as of the last day of the immediately preceding fiscal year, or a lesser number of shares determined by the administrator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0335"/>
                <wp:effectExtent l="0" t="0" r="0" b="0"/>
                <wp:wrapNone/>
                <wp:docPr id="79" name="Frame7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of the ESPP. Unless the administrator of the ESPP elects not to increase the number of shares available for future grant each year, our stockholders may experience additional dilution, which could cause our stock price to fall.</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board of directors is authorized to issue and designate shares of our redeemable convertible preferred stock in additional series without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amended and restated certificate of incorporation authorizes our board of directors, without the approval of our stockholders, to issue shares of our redeemable convertible preferred stock, subject to limitations prescribed by applicable law, rules and regulations and the provisions of our amended and restated certificate of incorporation, as shares of redeemable convertible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redeemable convertible preferred stock may be senior to or on parity with our common stock, which may reduce its value.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an “emerging growth company” and, due to the reduced reporting requirements applicable to emerging growth companies, certain investors may find investing in our common stock less attractive.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an emerging growth company, as defined in the Jumpstart Our Business Startups Act (JOBS Act). As a result of this status, we have taken advantage of reduced reporting requirements in this Quarterly Report and, for as long as we continue to be an emerging growth company, we may continue to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and exemptions from the requirements of holding nonbinding advisory votes on executive compensation and stockholder approval of any golden parachute payments not previously approved. We will remain an emerging growth company until the earlier of (1) the last day of the fiscal year (a) following the fifth anniversary of the closing of our IPO (i.e., December 31, 2031, (b) in which we have total annual gross revenue of at least $1.235 billion, or (c) in which we are deemed to be a large accelerated filer, which requires, among other things, that the market value of our common stock that is held by non-affiliates to exceed $700 million as of the prior June 30th, and (2) the date on which we have issued more than $1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we are also a non-accelerated filer at that time) and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JOBS Act, emerging growth companies can also delay adopting new or revised accounting standards until such time as those standards apply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As a result, changes in rules of GAAP or their interpretation, the adoption of new guidance, or the application of existing guidance to changes in our business could significantly affect our financial position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do not anticipate paying cash dividends for the foreseeable future, and therefore investors should not buy our stock if they wish to receive cash dividends. Investors may never obtain a return on their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You should not rely on an investment in our common stock to provide dividend income. 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0335"/>
                <wp:effectExtent l="0" t="0" r="0" b="0"/>
                <wp:wrapNone/>
                <wp:docPr id="80" name="Frame8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Delaware law and provisions in our amended and restated certificate of incorporation and amended and restated bylaws might delay, discourage or prevent a change in control of our company or changes in our management, thereby depressing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or delay or prevent changes in control of our management. Among other things, these provisions: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authorize our board of directors to issues shares of preferred stock and determine the price and other terms of those shares, including preferences and voting rights, without stockholder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only the board of directors to establish the number of directors and fill vacancies on the board;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that our board of directors is divided into three classes, Class I, Class II and Class III, with each class serving staggered three-year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 so long as our board of directors is classified, and subject to the rights of holders of our preferred stock, provide that our directors may only be removed by stockholders for cause;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stockholders to only take actions at a duly called annual or special meeting and not by written consent;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that stockholders give advance notice to nominate directors or submit proposals for consideration at stockholder meetings;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eliminate cumulative voting in the election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prohibit stockholders from calling a special meeting of stockholders;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a super-majority vote of stockholders to amend some of the provisions described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amended and restated bylaws designate a state or federal court located within the State of Delaware as the exclusive forum for substantially all disputes between us and our stockholders, and also provide that the federal district courts is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Exchange Act and the rules and regulations thereunder.</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0335"/>
                <wp:effectExtent l="0" t="0" r="0" b="0"/>
                <wp:wrapNone/>
                <wp:docPr id="81" name="Frame8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Further, the enforceability of similar exclusive forum provisions in other companies’ organizational documents have been challenged in legal proceedings, and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all of which could harm our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jc w:val="left"/>
        <w:rPr/>
      </w:pPr>
      <w:r>
        <w:rPr>
          <w:rFonts w:ascii="Trade Gothic;sans-serif" w:hAnsi="Trade Gothic;sans-serif"/>
          <w:b w:val="false"/>
          <w:color w:val="000000"/>
          <w:sz w:val="19"/>
        </w:rPr>
        <w:t xml:space="preserve">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 xml:space="preserve">certificate of incorporation and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provide that we will indemnify our directors and officers, in each case to the fullest extent permitted by Delaware law. 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jc w:val="left"/>
        <w:rPr/>
      </w:pPr>
      <w:r>
        <w:rPr>
          <w:rFonts w:ascii="Trade Gothic;sans-serif" w:hAnsi="Trade Gothic;sans-serif"/>
          <w:b w:val="false"/>
          <w:color w:val="000000"/>
          <w:sz w:val="19"/>
        </w:rPr>
        <w:t xml:space="preserve">In addition, as permitted by Section 145 of the Delaware General Corporation Law,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and our indemnification agreements that we have entered into with our directors and officers provide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in our discretion, indemnify employees and agents in those circumstances where indemnification is permitted by applicable law.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are not obligated pursuant to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The rights conferred in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retroactively amend our bylaw provisions to reduce our indemnification obligations to directors, officers, employees and agents.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a claim for indemnification is brought by any of our directors or officers, it would reduce the amount of funds available for use in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General Risk Factors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will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a public company, we will incur substantial legal, accounting and other expenses that we did not incur as a private company, and these expenses may increase even more after we are no longer an “emerging growth company.” For example, we will be subject to the reporting requirements of the Exchange Act, the Sarbanes-Oxley Act, the Dodd-Frank Wall Street Reform and Consumer Protection Act of 2010, the rules and regulations of the SEC and the listing standards of Nasdaq. Our management and other personnel will need to devote a substantial amount of time to compliance with these requirements and we expect these rules and regulations to substantially increase our legal and financial compliance costs. For example, we expect these rules and regulations to make it more expensive for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0335"/>
                <wp:effectExtent l="0" t="0" r="0" b="0"/>
                <wp:wrapNone/>
                <wp:docPr id="82" name="Frame8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we will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Quarterly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increased costs and demands upon management could adversely affect our business, results of operations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establish and maintain proper and effective internal control over financial reporting, our operating results and our ability to operate our business could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Section 404 of Sarbanes-Oxley, our management will be required to report upon the effectiveness of our internal control over financial reporting beginning with the second annual report following the completion of our IPO. When we lose our status as an “emerging growth company” and do not otherwise qualify as a non-accelerated filer, our independent registered public accounting firm will be required to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needs to be evaluated frequently. Our internal control over financial reporting is a process designed to provide reasonable assurance regarding the reliability of financial reporting and the preparation of financial statements in accordance with GAAP. We have begun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Implementing any appropriate changes to our internal controls entails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We may discover significant deficiencies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preparation of financial statements in conformity with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0335"/>
                <wp:effectExtent l="0" t="0" r="0" b="0"/>
                <wp:wrapNone/>
                <wp:docPr id="83" name="Frame8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maintain effective disclosure controls and procedures, our business, financial position and results of operations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other internal controls and procedures, no matter how well-conceived and operated, can provide only reasonable, not absolute, assurance that the objectives of the control system are met.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trading market for our common stock will be influenced in part by the research and reports that securities or industry analysts may publish about us, our business, our market or our competitors. If one or more securities analysts initiate research with an unfavorable rating or downgrade our common stock, provide a more favorable recommendation about our competitors or publish inaccurate or unfavorable research about our business, our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stock to decline.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insurance policies may be inadequate, may not cover all of our potential liabilities and may potentially expose us to unrecoverable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do not carry insurance for all categories of risk that our business may encounter. Some of the policies we currently maintain include property, general liability, employee benefits liability, business automobile, workers’ compensation, clinical trials/products liability, cybersecurity liability, directors’ and officers’, crime, fiduciary, and employment practices insurance. We do not know, however, if we will be able to maintain insurance with adequate levels of coverage. No assurance can be given that an insurance carrier will not seek to cancel or deny coverage after a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0335"/>
                <wp:effectExtent l="0" t="0" r="0" b="0"/>
                <wp:wrapNone/>
                <wp:docPr id="84" name="Frame8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we are dependent on certain key personnel, we do not have key person life insurance policies on any such individuals. Therefore, if any of our key personnel die or become disabled, the loss of such person could materially adversely affect our business, financial condition,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 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they are approved and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could be subject to securities class action litigation, which is expensive and could divert management attention.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operating results, or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ability to use our net operating loss carryforwards and certain other tax attributes may be limited.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of December 31, 2025, we had United States federal and state net operating loss (NOL) carryforwards of $76.5 million and $5.0 million, respectively, which may be available to offset future taxable income for United States income tax purposes. The federal NOL carryforwards of $76.5 million may be carried forward indefinitely. State NOL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0335"/>
                <wp:effectExtent l="0" t="0" r="0" b="0"/>
                <wp:wrapNone/>
                <wp:docPr id="85" name="Frame8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carryforwards totaling $5.0 million begin to expire in 2029, unless previously utilized. In addition, we had federal and state tax credit carryforwards totaling $3.3 million and $4.2 million, respectively. The federal tax credit carryforwards will begin to expire in 2039 unless previously utilized. The state tax credit carryforwards may be carried forward indefinitely.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current law, United States federal NOLs generated in taxable periods beginning after December 31, 2017, will not expire and may be carried forward indefinitely, but the deductibility of such NOL carryforwards in a taxable year is limited to 80% of current year taxable income (with certain adjustments). Many state jurisdictions conform to federal law for this purpose or have other provisions that limit the deductibility of state NOL carryforwards in a taxable period. In addition, under Sections 382 and 383 of the Code, United States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of equity by more than 50 percentage points (by value) within a rolling three-year period. To the extent we have experienced or will experience an ownership change(s) (which may be outside of our control), our ability to utilize our NOL carryforwards and other tax attributes to offset future taxable income or tax liabilities may be limited. If we earn taxable income, such limitations could result in increased future income tax liability to us, and our future cash flows could be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adverse legislative or regulatory tax changes that could negatively impact our financial condition.</w:t>
      </w:r>
    </w:p>
    <w:p>
      <w:pPr>
        <w:pStyle w:val="TextBody"/>
        <w:bidi w:val="0"/>
        <w:spacing w:lineRule="auto" w:line="268" w:before="0" w:after="0"/>
        <w:jc w:val="left"/>
        <w:rPr>
          <w:rFonts w:ascii="Trade Gothic;sans-serif" w:hAnsi="Trade Gothic;sans-serif"/>
          <w:b w:val="false"/>
          <w:color w:val="000000"/>
          <w:sz w:val="19"/>
        </w:rPr>
      </w:pPr>
      <w:r>
        <w:rPr>
          <w:rFonts w:ascii="Trade Gothic;sans-serif" w:hAnsi="Trade Gothic;sans-serif"/>
          <w:b w:val="false"/>
          <w:color w:val="000000"/>
          <w:sz w:val="19"/>
        </w:rPr>
        <w:t>We are or may become subject to income and non-income taxes in the United States under federal, state, and local jurisdictions in which we may operate. The rules dealing with U.S. federal, state, and local income and non-income taxation are constantly under review by persons involved in the legislative process and by the U.S. Internal Revenue Service, the U.S. Treasury Department and other applicable tax authorities. Changes to tax laws (which changes may have retroactive application) or in their implementation or interpretation could adversely affect us or our stockholders. We continually assess the impact of various tax reform proposals in all jurisdictions where we have operations to determine the potential effect on our business and any assumptions we will make about our future taxable income. For example, U.S. federal income tax legislation commonly referred to as the One Big Beautiful Bill Act (OBBBA) was enacted in July 2025. The OBBBA did not have a material impact on our financial statements for the period ended March 31, 2026 and for the year ended December 31, 2025. We continue to evaluate the implications of this legislation on future periods. We cannot predict whether any specific proposals will be enacted, the terms of any such proposals or what effect, if any, such proposals would have on our business if they were to be enacted. Any such changes, among others, may adversely affect our effective tax rate, results of operation, and general business condition.</w:t>
      </w:r>
    </w:p>
    <w:p>
      <w:pPr>
        <w:pStyle w:val="TextBody"/>
        <w:bidi w:val="0"/>
        <w:spacing w:before="0" w:after="0"/>
        <w:jc w:val="left"/>
        <w:rPr/>
      </w:pPr>
      <w:r>
        <w:rPr/>
      </w:r>
    </w:p>
    <w:p>
      <w:pPr>
        <w:pStyle w:val="TextBody"/>
        <w:bidi w:val="0"/>
        <w:spacing w:lineRule="auto" w:line="268" w:before="0" w:after="0"/>
        <w:jc w:val="left"/>
        <w:rPr>
          <w:rFonts w:ascii="Trade Gothic;sans-serif" w:hAnsi="Trade Gothic;sans-serif"/>
          <w:b w:val="false"/>
          <w:color w:val="000000"/>
          <w:sz w:val="19"/>
        </w:rPr>
      </w:pPr>
      <w:r>
        <w:rPr>
          <w:rFonts w:ascii="Trade Gothic;sans-serif" w:hAnsi="Trade Gothic;sans-serif"/>
          <w:b w:val="false"/>
          <w:color w:val="000000"/>
          <w:sz w:val="19"/>
        </w:rPr>
        <w:t>In addition, our tax returns are subject to examination by the Internal Revenue Service and state and local tax authorities. We regularly assess the likelihood of adverse outcomes resulting from these examinations to determine the adequacy of the provision for income taxes. Audits or challenges to our tax positions by taxing authorities could result in unforeseen tax-related liabilities, which may harm our future financial results.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Unstable market and economic conditions, including adverse developments affecting the financial services industry, such as actual events or concerns involving liquidity, defaults or non-performance by financial institutions or transactional counterparties, may have serious adverse consequences on our business, financial condition and stock price.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widely reported, global credit and financial markets have experienced volatility and disruptions recently including severely diminished liquidity and credit availability, declines in consumer confidence, declines in economic growth, increases in unemployment rates and uncertainty about economic stability, and increased inflationary risk. The financial markets and the global economy may also be adversely affected by the current or anticipated impact of military conflict, including military conflicts in Ukraine and the Middle East, terrorism or other geopolitical events, as well as any ongoing or additional impacts of the COVID-19 pandemic or similar outbreak. Sanctions imposed by the United States and other countries in response to such conflicts, including in Ukraine and the Middle East,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equity or debt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0335"/>
                <wp:effectExtent l="0" t="0" r="0" b="0"/>
                <wp:wrapNone/>
                <wp:docPr id="86" name="Frame8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was closed by the California Department of Financial Protection and Innovation, which appointed the Federal Deposit Insurance Corporation as receiver. Similarly, in March 2023, Signature Bank and Silvergate Capital Corp. were each swept into receivership, as was First Republic Bank in May 2023.</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31, 2026, we had cash and cash equivalents and short-term investments of $251.0 million. While we are not aware of any downgrades, material losses, or other significant deterioration in the fair value of our cash equivalents and short-term investments since March 31, 2026, no assurance can be given that further deterioration of the global credit and financial markets would not negatively impact our current portfolio of cash equivalents and short-term investments or our ability to meet our financing objectives. Furthermore, our stock price may decline due in part to the volatility of the stock market and the general economic downturn.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3" w:name="i938561dfa0d348a9aea04d9c754ec006_2112"/>
      <w:bookmarkEnd w:id="13"/>
      <w:r>
        <w:rPr>
          <w:rFonts w:ascii="Trade Gothic;sans-serif" w:hAnsi="Trade Gothic;sans-serif"/>
          <w:b/>
          <w:color w:val="000000"/>
          <w:sz w:val="20"/>
        </w:rPr>
        <w:t>Item 2. Unregistered Sales of Equity Securities and Use of Proceeds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Unregistered Sales of Equity Securities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February 5, 2026, we granted to certain of our service providers stock options to purchase an aggregate of 1,312,044 shares of our common stock under the 2026 Plan at a weighted-average exercise price of $16.00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January 2026, we issued and sold to our employees an aggregate of 99,719 shares of common stock upon the exercise of stock options issued under the 2019 Plan at exercise prices ranging from $0.38 to $2.18 per share, for an aggregate exercise price of $41.3 thousand.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issuances were deemed to be exempt from registration under the Securities Act pursuant to Rule 701 promulgated under the Securities Act.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Use of Proceeds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February 9, 2026, we completed our IPO, in which we issued and sold 10,781,250 shares of our common stock, at a price to the public of $16.00 per share. The net proceeds to the Company from the IPO were approximately $156.5 million, after deducting underwriting fees and offering costs. All of the shares of common stock issued and sold in our IPO were registered under the Securities Act, pursuant to a registration statement on Form S-1 (File No. 333-292779), which was declared effective by the SEC on January 30, 2025. Jefferies LLC, Leerink Partners LLC, Citigroup Global Markets Inc. and Stifel, Nicolaus &amp; Company, Incorporated acted as representatives of the several underwriters of the IPO. No offering expenses were paid directly or indirectly to any of our directors or officers (or their associates) or persons owning 10% or more of any class of our equity securities or to any other affiliates.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has been no material change in the intended use of proceeds from our IPO as described in our prospectus dated February 5, 2026 (File No. 333-292779), as filed with the SEC on February 6, 2026 pursuant to Rule 424(b)(4)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4" w:name="i5e1a232b87964080a9bc2a7c46ce1649_380"/>
      <w:bookmarkEnd w:id="14"/>
      <w:r>
        <w:rPr>
          <w:rFonts w:ascii="Trade Gothic;sans-serif" w:hAnsi="Trade Gothic;sans-serif"/>
          <w:b/>
          <w:color w:val="000000"/>
          <w:sz w:val="20"/>
        </w:rPr>
        <w:t>Item 3. Defaults Upon Senior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0335"/>
                <wp:effectExtent l="0" t="0" r="0" b="0"/>
                <wp:wrapNone/>
                <wp:docPr id="87" name="Frame8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5" w:name="ie86abf50b0fc47868f915b324bb991d1_258"/>
      <w:bookmarkEnd w:id="15"/>
      <w:r>
        <w:rPr>
          <w:rFonts w:ascii="Trade Gothic;sans-serif" w:hAnsi="Trade Gothic;sans-serif"/>
          <w:b/>
          <w:color w:val="000000"/>
          <w:sz w:val="20"/>
        </w:rPr>
        <w:t>Item 4. Mine Safety Disclosures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6" w:name="i5941cfeb18984c78873bc36d795eedd1_155"/>
      <w:bookmarkEnd w:id="16"/>
      <w:r>
        <w:rPr>
          <w:rFonts w:ascii="Trade Gothic;sans-serif" w:hAnsi="Trade Gothic;sans-serif"/>
          <w:b/>
          <w:color w:val="000000"/>
          <w:sz w:val="20"/>
        </w:rPr>
        <w:t>Item 5. Other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7" w:name="ib2765c2f72ea4c66a769a61566e758a5_1005"/>
      <w:bookmarkEnd w:id="17"/>
      <w:r>
        <w:rPr>
          <w:rFonts w:ascii="Trade Gothic;sans-serif" w:hAnsi="Trade Gothic;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2688"/>
        <w:gridCol w:w="2535"/>
        <w:gridCol w:w="3618"/>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Description</w:t>
            </w:r>
          </w:p>
        </w:tc>
      </w:tr>
      <w:tr>
        <w:trPr/>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rade Gothic;sans-serif" w:hAnsi="Trade Gothic;sans-serif"/>
                  <w:b w:val="false"/>
                  <w:color w:val="0000FF"/>
                  <w:sz w:val="19"/>
                  <w:u w:val="single"/>
                </w:rPr>
                <w:t>Amended and Restated Certificate of Incorporation of the Registrant (incorporated by reference to Exhibit 3.1 to the Registrant’s Current Report on Form 8-K filed with the SEC on February 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rade Gothic;sans-serif" w:hAnsi="Trade Gothic;sans-serif"/>
                  <w:b w:val="false"/>
                  <w:color w:val="0000FF"/>
                  <w:sz w:val="19"/>
                  <w:u w:val="single"/>
                </w:rPr>
                <w:t>Amended and Restated Bylaws of the Registrant (incorporated by reference to Exhibit 3.2 to the Registrant’s Current Report on Form 8-K filed with the SEC on February 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rade Gothic;sans-serif" w:hAnsi="Trade Gothic;sans-serif"/>
                  <w:b w:val="false"/>
                  <w:color w:val="0000FF"/>
                  <w:sz w:val="19"/>
                  <w:u w:val="single"/>
                </w:rPr>
                <w:t>Form of Common Stock Certificate (incorporated by reference to Exhibit 4.1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rade Gothic;sans-serif" w:hAnsi="Trade Gothic;sans-serif"/>
                  <w:b w:val="false"/>
                  <w:color w:val="0000FF"/>
                  <w:sz w:val="19"/>
                  <w:u w:val="single"/>
                </w:rPr>
                <w:t>Amended and Restated Investors’ Rights Agreement by and among the Registrant and certain holders of its capital stock, dated as of May 30, 2025 (incorporated by reference to Exhibit 4.2 to the Registrant’s Registration Statement on Form S-1 filed with the SEC on January 16,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rade Gothic;sans-serif" w:hAnsi="Trade Gothic;sans-serif"/>
                  <w:b w:val="false"/>
                  <w:color w:val="0000FF"/>
                  <w:sz w:val="19"/>
                  <w:u w:val="single"/>
                </w:rPr>
                <w:t>Form of Director and Executive Officer Indemnification Agreement (incorporated by reference to Exhibit 10.1 to the Registrant’s Registration Statement on Form S-1 filed with the SEC on January 16,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rade Gothic;sans-serif" w:hAnsi="Trade Gothic;sans-serif"/>
                  <w:b w:val="false"/>
                  <w:color w:val="0000FF"/>
                  <w:sz w:val="19"/>
                  <w:u w:val="single"/>
                </w:rPr>
                <w:t>2026 Equity Incentive Plan and related form agreements (incorporated by reference to Exhibit 10.2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rade Gothic;sans-serif" w:hAnsi="Trade Gothic;sans-serif"/>
                  <w:b w:val="false"/>
                  <w:color w:val="0000FF"/>
                  <w:sz w:val="19"/>
                  <w:u w:val="single"/>
                </w:rPr>
                <w:t>2026 Employee Stock Purchase Plan (incorporated by reference to Exhibit 10.3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rade Gothic;sans-serif" w:hAnsi="Trade Gothic;sans-serif"/>
                  <w:b w:val="false"/>
                  <w:color w:val="0000FF"/>
                  <w:sz w:val="19"/>
                  <w:u w:val="single"/>
                </w:rPr>
                <w:t>Amended and Restated 2019 Equity Incentive Plan, as amended, and related form agreements (incorporated by reference to Exhibit 10.4 to the Registrant’s Registration Statement on Form S-1 filed with the SEC on January 16,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rade Gothic;sans-serif" w:hAnsi="Trade Gothic;sans-serif"/>
                  <w:b w:val="false"/>
                  <w:color w:val="0000FF"/>
                  <w:sz w:val="19"/>
                  <w:u w:val="single"/>
                </w:rPr>
                <w:t>Outside Director Compensation Policy (incorporated by reference to Exhibit 10.5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rade Gothic;sans-serif" w:hAnsi="Trade Gothic;sans-serif"/>
                  <w:b w:val="false"/>
                  <w:color w:val="0000FF"/>
                  <w:sz w:val="19"/>
                  <w:u w:val="single"/>
                </w:rPr>
                <w:t>Employee Incentive Compensation Plan (incorporated by reference to Exhibit 10.6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rade Gothic;sans-serif" w:hAnsi="Trade Gothic;sans-serif"/>
                  <w:b w:val="false"/>
                  <w:color w:val="0000FF"/>
                  <w:sz w:val="19"/>
                  <w:u w:val="single"/>
                </w:rPr>
                <w:t>Confirmatory Employment Letter between the Registrant and Patrick Mooney (incorporated by reference to Exhibit 10.7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rade Gothic;sans-serif" w:hAnsi="Trade Gothic;sans-serif"/>
                  <w:b w:val="false"/>
                  <w:color w:val="0000FF"/>
                  <w:sz w:val="19"/>
                  <w:u w:val="single"/>
                </w:rPr>
                <w:t>Confirmatory Employment Letter between the Registrant and James Dennewill (incorporated by reference to Exhibit 10.8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rade Gothic;sans-serif" w:hAnsi="Trade Gothic;sans-serif"/>
                  <w:b w:val="false"/>
                  <w:color w:val="0000FF"/>
                  <w:sz w:val="19"/>
                  <w:u w:val="single"/>
                </w:rPr>
                <w:t>Confirmatory Employment Letter between the Registrant and Chetan Pujara (incorporated by reference to Exhibit 10.9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rade Gothic;sans-serif" w:hAnsi="Trade Gothic;sans-serif"/>
                  <w:b w:val="false"/>
                  <w:color w:val="0000FF"/>
                  <w:sz w:val="19"/>
                  <w:u w:val="single"/>
                </w:rPr>
                <w:t>Confirmatory Employment Letter between the Registrant and Jean-Frederic Viret (incorporated by reference to Exhibit 10.10 to the Registrant’s Registration Statement on Form S-1/A filed with the SEC on January 29, 2026).</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10qq126.htm">
              <w:r>
                <w:rPr>
                  <w:rStyle w:val="InternetLink"/>
                  <w:rFonts w:ascii="Trade Gothic;sans-serif" w:hAnsi="Trade Gothic;sans-serif"/>
                  <w:b w:val="false"/>
                  <w:color w:val="000080"/>
                  <w:sz w:val="19"/>
                  <w:u w:val="single"/>
                </w:rPr>
                <w:t>Professional Services Agreement between the Registrant and University Physicians, Inc., d/b/a University of Colorado Medicine, dated February 21, 2019, including the amendments thereto</w:t>
              </w:r>
            </w:hyperlink>
            <w:hyperlink w:anchor="exhibit1011-10qq126.htm">
              <w:r>
                <w:rPr>
                  <w:rStyle w:val="InternetLink"/>
                  <w:rFonts w:ascii="Trade Gothic;sans-serif" w:hAnsi="Trade Gothic;sans-serif"/>
                  <w:b w:val="false"/>
                  <w:color w:val="000080"/>
                  <w:sz w:val="19"/>
                  <w:u w:val="single"/>
                </w:rPr>
                <w:t>.</w:t>
              </w:r>
            </w:hyperlink>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rade Gothic;sans-serif" w:hAnsi="Trade Gothic;sans-serif"/>
                  <w:b w:val="false"/>
                  <w:color w:val="0000FF"/>
                  <w:sz w:val="19"/>
                  <w:u w:val="single"/>
                </w:rPr>
                <w:t>Change in Control and Severance Plan and related form participation agreement (incorporated by reference to Exhibit 10.12 to the Registrant’s Registration Statement on Form S-1/A filed with the SEC on January 29,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0335"/>
                <wp:effectExtent l="0" t="0" r="0" b="0"/>
                <wp:wrapNone/>
                <wp:docPr id="88" name="Frame8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tbl>
      <w:tblPr>
        <w:tblW w:w="10205" w:type="dxa"/>
        <w:jc w:val="left"/>
        <w:tblInd w:w="0" w:type="dxa"/>
        <w:tblLayout w:type="fixed"/>
        <w:tblCellMar>
          <w:top w:w="28" w:type="dxa"/>
          <w:left w:w="28" w:type="dxa"/>
          <w:bottom w:w="28" w:type="dxa"/>
          <w:right w:w="28" w:type="dxa"/>
        </w:tblCellMar>
      </w:tblPr>
      <w:tblGrid>
        <w:gridCol w:w="254"/>
        <w:gridCol w:w="223"/>
        <w:gridCol w:w="224"/>
        <w:gridCol w:w="109"/>
        <w:gridCol w:w="109"/>
        <w:gridCol w:w="109"/>
        <w:gridCol w:w="2683"/>
        <w:gridCol w:w="2683"/>
        <w:gridCol w:w="3811"/>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qq126.htm">
              <w:r>
                <w:rPr>
                  <w:rStyle w:val="InternetLink"/>
                  <w:rFonts w:ascii="Trade Gothic;sans-serif" w:hAnsi="Trade Gothic;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qq126.htm">
              <w:r>
                <w:rPr>
                  <w:rStyle w:val="InternetLink"/>
                  <w:rFonts w:ascii="Trade Gothic;sans-serif" w:hAnsi="Trade Gothic;sans-serif"/>
                  <w:b w:val="false"/>
                  <w:color w:val="0000FF"/>
                  <w:sz w:val="19"/>
                  <w:u w:val="single"/>
                </w:rPr>
                <w:t>Certification of Chief Financial Officer pursuant to Rule 13a-14(a) and Rule 15d-14(a) of the Securities Exchange Act of 1934, as amended, as adopted pursuant to Section 302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qq126.htm">
              <w:r>
                <w:rPr>
                  <w:rStyle w:val="InternetLink"/>
                  <w:rFonts w:ascii="Trade Gothic;sans-serif" w:hAnsi="Trade Gothic;sans-serif"/>
                  <w:b w:val="false"/>
                  <w:color w:val="0000FF"/>
                  <w:sz w:val="19"/>
                  <w:u w:val="single"/>
                </w:rPr>
                <w:t>Certification of Chief Executive Officer pursuant to 18 U.S.C. Section 1350 as adopted pursuant to Section 906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qq126.htm">
              <w:r>
                <w:rPr>
                  <w:rStyle w:val="InternetLink"/>
                  <w:rFonts w:ascii="Trade Gothic;sans-serif" w:hAnsi="Trade Gothic;sans-serif"/>
                  <w:b w:val="false"/>
                  <w:color w:val="0000FF"/>
                  <w:sz w:val="19"/>
                  <w:u w:val="single"/>
                </w:rPr>
                <w:t>Certification of Chief Financial Officer pursuant to 18 U.S.C. Section 1350 as adopted pursuant to Section 906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Instance Document – the instance document does not appear in the Interactive Data File because XBRL tags are embedded within the Inline XBRL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Schema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Calculation Linkbase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Definition Linkbase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Label Linkbase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Presentation Linkbase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 the Inline XBRL document)</w:t>
            </w:r>
          </w:p>
        </w:tc>
      </w:tr>
    </w:tbl>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*Filed herewith.</w:t>
      </w:r>
    </w:p>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     Indicates management contract or compensatory plan.</w:t>
      </w:r>
    </w:p>
    <w:p>
      <w:pPr>
        <w:pStyle w:val="TextBody"/>
        <w:bidi w:val="0"/>
        <w:spacing w:lineRule="auto" w:line="288" w:before="0" w:after="0"/>
        <w:ind w:left="0" w:right="0" w:hanging="360"/>
        <w:jc w:val="left"/>
        <w:rPr>
          <w:color w:val="000000"/>
        </w:rPr>
      </w:pPr>
      <w:r>
        <w:rPr>
          <w:color w:val="000000"/>
        </w:rPr>
        <w:t>†     </w:t>
      </w:r>
      <w:r>
        <w:rPr>
          <w:rFonts w:ascii="Trade Gothic;sans-serif" w:hAnsi="Trade Gothic;sans-serif"/>
          <w:b w:val="false"/>
          <w:color w:val="000000"/>
          <w:sz w:val="17"/>
        </w:rPr>
        <w:t>The certifications attached as Exhibit 32.1 and 32.2 that accompany this Quarterly Report on Form 10-Q are deemed furnished and not filed with the Securities and Exchange Commission and are not to be incorporated by reference into any filing of SpyGlass Pharma,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0335"/>
                <wp:effectExtent l="0" t="0" r="0" b="0"/>
                <wp:wrapNone/>
                <wp:docPr id="89" name="Frame8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360"/>
        <w:jc w:val="center"/>
        <w:rPr>
          <w:rFonts w:ascii="Trade Gothic;sans-serif" w:hAnsi="Trade Gothic;sans-serif"/>
          <w:b/>
          <w:color w:val="000000"/>
          <w:sz w:val="20"/>
        </w:rPr>
      </w:pPr>
      <w:bookmarkStart w:id="18" w:name="i8bacdd2ab04e4a25a93f3133e8abda76_2555"/>
      <w:bookmarkEnd w:id="18"/>
      <w:r>
        <w:rPr>
          <w:rFonts w:ascii="Trade Gothic;sans-serif" w:hAnsi="Trade Gothic;sans-serif"/>
          <w:b/>
          <w:color w:val="000000"/>
          <w:sz w:val="20"/>
        </w:rPr>
        <w:t>SIGNATURES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Act of 1933,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670"/>
        <w:gridCol w:w="587"/>
        <w:gridCol w:w="593"/>
        <w:gridCol w:w="447"/>
        <w:gridCol w:w="447"/>
        <w:gridCol w:w="447"/>
        <w:gridCol w:w="2264"/>
        <w:gridCol w:w="2183"/>
        <w:gridCol w:w="2192"/>
        <w:gridCol w:w="109"/>
        <w:gridCol w:w="109"/>
        <w:gridCol w:w="157"/>
      </w:tblGrid>
      <w:tr>
        <w:trPr/>
        <w:tc>
          <w:tcPr>
            <w:tcW w:w="67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Date: May 14, 2026</w:t>
            </w:r>
          </w:p>
        </w:tc>
        <w:tc>
          <w:tcPr>
            <w:tcW w:w="79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SPYGLASS PHARMA, INC.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By:</w:t>
            </w:r>
          </w:p>
        </w:tc>
        <w:tc>
          <w:tcPr>
            <w:tcW w:w="6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/s/ Jean-Frédéric Viret, Ph.D.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Jean-Frédéric Viret, Ph.D.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Chief Financial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(Principal Financial Officer and duly authorized on behalf of the registrant)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0335"/>
                <wp:effectExtent l="0" t="0" r="0" b="0"/>
                <wp:wrapNone/>
                <wp:docPr id="90" name="Frame9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v:textbox>
                <w10:wrap type="none"/>
              </v:rect>
            </w:pict>
          </mc:Fallback>
        </mc:AlternateContent>
      </w:r>
    </w:p>
    <w:p>
      <w:pPr>
        <w:pStyle w:val="TextBody"/>
        <w:bidi w:val="0"/>
        <w:spacing w:lineRule="auto" w:line="300" w:before="0" w:after="120"/>
        <w:jc w:val="right"/>
        <w:rPr>
          <w:rFonts w:ascii="Times New Roman;serif" w:hAnsi="Times New Roman;serif"/>
          <w:b/>
          <w:color w:val="000000"/>
          <w:sz w:val="20"/>
        </w:rPr>
      </w:pPr>
      <w:r>
        <w:rPr>
          <w:rFonts w:ascii="Times New Roman;serif" w:hAnsi="Times New Roman;serif"/>
          <w:b/>
          <w:color w:val="000000"/>
          <w:sz w:val="20"/>
        </w:rPr>
        <w:t>Exhibit 10.11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SPYGLASS OPHTHALMICS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UNIVERSITY COLORADO MEDICINE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PROFESSIONAL SERVICES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Professional Services Agreement is made between SpyGlass Ophthalmics, Inc. (hereinafter referred to as “SpyGlass”) and University Physicians, Inc., d/b/a University of Colorado Medicine (“CU Medicine”), with a business address of 13199 E. Montview Boulevard, Aurora, CO 80045, a Colorado non-profit corporation established by the Board of Regents of the University of Colorado to serve as the fiscal and business agent for the University of Colorado School of Medicine (“SOM”) and its faculty members, including Malik Kahook, M.D. (“Consultant”).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University of Colorado has established CU Medicine to serve as the business and fiscal agent of SOM.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SpyGlass has need for professional services as described below and desires to secure the professional services of Consultant who is a SOM faculty member and employee.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CU Medicine is willing to contract on behalf of SOM for the provision of such services by Consultant for SpyGlass.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CU Medicine is an independent non-profit organization that serves as the centralized business and contracting agent for SOM, and all full-time employees of SOM, including Consultant, have assigned rights to any income earned from professional services to CU Medicine. Income from such services is billed and collected by CU Medicine and then disbursed to SOM in accordance with CU Medicine policies and procedures. CU Medicine performs centralized business and administrative functions on behalf of SOM and in no manner engages in the practice of medicine itself. The parties acknowledge and agree that CU Medicine is authorized to bill for and collect from SpyGlass the fees arising from this Agreement for the services performed by Consultant.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it is mutually agreed as follows: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    SERVICES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services to be provided to SpyGlass are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Advice and hands on wet labs with development of novel intraocular lenses and ancillary tools associated with technology owned by the Regents of the University of Colorado, a body corporate, on behalf of the University of Colorado Denver at the Anschutz Medical Campus (“University”) and subject to an option agreement and/or exclusive license agreement between SpyGlass and University (collectively, a “License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Advice on development, market potential, and clinical testing of technology developed or acquired by SpyGlass independently from University, and unrelated to technology subject to a License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services to be provided under this Agreement shall be performed by Consultant. Consultant shall perform the services in a competent and professional manner and SpyGlass shall pay CU Medicine for the services in accordance with the terms and conditions set forth in this Agreement.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II.    PERIOD OF PERFORMANCE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shall be effective from February 1, 2019, through January 31, 2020, unless sooner terminated. Either party hereto may terminate this Agreement at any time by giving not less than 30 days advance written notice to the other party. Upon early termination of this Agreement, SpyGlass shall pay CU Medicine for all services rendered through the effective date of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may be extended, renewed or otherwise amended at any time by the mutual written consent of the parties hereto.</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III.    COMPENSATION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SpyGlass agrees to pay CU Medicine for the services performed pursuant to this Agreement, as set forth below. The parties agree that CU Medicine is authorized to bill for and collect fees for all services performed pursuant to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$16,667 per month.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CU Medicine will submit invoices to SpyGlass, which will be due and payable within thirty days. SpyGlass agrees that if services are provided prior to the effective date of this Agreement, SpyGlass will compensate CU Medicine in accordance with the above stated payment rates.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Invoices should be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SpyGlass Ophthalmics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Glenn Sussman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26431 Crown Valley Parkway, Suite 250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Mission Viejo, CA 92691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Payments shall be payable to “University of Colorado Medicine”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University of Colorado Medicine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Finance Department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110247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Aurora, CO 80042-0247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Commercial Reasonableness/Fair Market Value/Non-Inducement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represent and warrant that the fee payable under this Agreement was determined by the parties through good faith and arms’ length bargaining, constitutes fair market value for the Services, and has not been determined in a manner that takes into account the volume or value of any business between the parties. Consultant is not required to use or recommend SpyGlass products, and the parties represent and warrant that the fee is not intended to reward Consultant for the use or recommendation of such products or to induce Consultant to use or recommend use of such company products. The parties agree that Consultant is under no obligation to solicit, refer, or solicit referrals of patients for any SpyGlass business. Consultant will not receive any benefit of any kind for making any referrals nor suffer any detriment for not making such referrals. The parties further agree that no amount paid hereunder is intended to be, nor shall be construed as, an inducement or payment for referral of or recommending referral of patients for any SpyGlass business by Consultant. In addition, the fees charged hereunder do not include any discount, rebate, kickback, or other reduction in charge, and the fees charged hereunder are not intended to be, nor shall they be construed as, an inducement or payment for referral, or recommendation of referral, of business between the parties. The sole purpose of the fee payable to CU Medicine hereunder is to pay fair market value for the Services provided by Consultant to SpyGlass.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IV.    INDEPENDENT CONTRACTOR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services hereunder shall be provided as an independent contractor. Nothing in this Agreement shall be interpreted or construed to create a relationship of employment, partnership, or joint venture between CU Medicine and SpyGlass. SOM shall be solely responsible for the payment of all payroll and other applicable taxes for its employee and for the payment and provision of any applicable employment benefits for its employee, including workers compensation coverage.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contract is expressly made subject to all laws and regulations of the United States and the State of Colorado. Contractual provisions required by such laws and regulations, but not having been set out herein, are hereby incorporated by this reference as though expressly set out in full.</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VI.    CONFIDENTIAL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CU Medicine agrees that any information or material disclosed by SpyGlass under this Agreement concerning SpyGlass and reasonably identified by SpyGlass as confidential will not be disclosed to any other person or entity or used in any manner except in connection with performing the services under this Agreement. CU Medicine, upon request, will promptly return to SpyGlass all materials and documents containing confidential information that have been so furnished by SpyGlass.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foregoing shall not apply to information that is or becomes otherwise publicly available, is acquired from a third party with no confidentiality obligations to SpyGlass, is independently developed without reference to such information, or is required to be disclosed by law, regulation, or the order of a court or other competent legal authority.</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VII.    INTELLECTUAL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SpyGlass acknowledges that Consultant is an employee of the University of Colorado Denver and is subject to University policies concerning consulting, conflicts of interest, and intellectual property (“CU Policies”). The University maintains any and all rights in and to any discoveries in which the University has an interest that are created by its employees, as determined by CU Policies, as may be amended from time to time; including but not limited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Regents Policy 5.J. https://www.cu.edu/regents/policy-5j-intellectual-property-policy-discoveries-and-patents-their-protection-and Administrative Policy Statement 1013 https://www.cu.edu/ope/aps/1013.</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b.    SpyGlass Technology Developed or Acquired Independently from University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In order for discussions between Consultant and SpyGlass to be meaningful and productive, it is imperative that SpyGlass be able to discuss its research, development and marketing objectives, concepts, plans, initiatives, programs, projects and other activities with Consultant as openly and freely as possible. Equally important is that SpyGlass be able to use information shared by Consultant during such discussions. In furtherance of these key objectives, University, hereby grants to SpyGlass a non-exclusive, royalty-free, fully paid-up license to use for any purpose any ideas, inventions, designs, improvements, and discoveries that are not related to the technology that is subject to a License Agreement and that may be shared with SpyGlass, or made, by Consultant in the course of Consultant’s services hereunder, without any further obligation to CU Medicine or University. To the extent that Consultant makes an invention that may be patentable in the performance of the services under this Agreement that is not related to the technology that is subject to a License Agreement (each such an invention a “SpyGlass Invention”) and Consultant is determined to be the sole or a joint inventor of the SpyGlass Invention, Consultant and University, agree to assign and hereby do assign to SpyGlass all of his/her/its rights in and to the SpyGlass Invention (herein referred to as the “SpyGlass Invention Rights”), and Consultant shall cooperate with SpyGlass as reasonably necessary in the filing of appropriate patent applications directed to the SpyGlass Invention, at the sole discretion and expense of SpyGlass.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    SpyGlass Inventions do not include any inventions made by Consultant that arise directly from Consultant’s (i) performance of duties required by a University grant or contract; (ii) substantial use of University resources; (iii) use of sponsored program funds supplied or administered by University, or (iv) activities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related to, inventions derived from, or improvements made to, University technologies subject to a License Agreement either currently in effect or that come into effect in the future.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SpyGlass Inventions do not include any invention that Consultant, CU Medicine or University demonstrates, by Consultant’s written records, was developed independently of this Agreement. In the event that Consultant elects to share information with SpyGlass in the course of providing services hereunder that relates to an independently developed discovery, Consultant shall notify SpyGlass in writing regarding the existence of such independently developed discovery and the existence of any associated patent application or issued patent prior to disclosing to SpyGlass any material non-public details thereof. SpyGlass may elect not to receive Consultant’s information relating to such an independently developed discovery.</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    University Technology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Consultant separately or together with SpyGlass generates any ideas, inventions, discoveries, designs improvements, or other intellectual property related to or derived from technology that is the subject of a License Agreement in the performance of the services under this Agreement (“New University IP”), Consultant will assign his rights in such New University IP to the University under the CU Policies. University or Consultant and SpyGlass shall each disclose to SpyGlass or University, respectively, any New University IP developed or co-developed by it within thirty (30) days of its becoming aware of the New University IP. SpyGlass shall treat a disclosure of New University IP as confidential information of University and shall not disclose the New University IP to any third parties without the consent of University. The New University IP will be added to the relevant License Agreement by a written amendment executed by both SpyGlass and University according to the terms of the relevant License Agreement, which amendment shall include diligence terms appropriate to the New University IP.</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VIII.    MISCELLANEOUS PROVISIONS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Amendments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may be amended only by written agreement signed by each of the parties hereto. This Agreement shall be binding upon, and shall inure to the benefit of the respective parties hereto and shall not be assigned without the consent of all parties hereto.</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Force majeure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 liability hereunder shall result to either party by reason of delay in performance caused by </w:t>
      </w:r>
      <w:r>
        <w:rPr>
          <w:rFonts w:ascii="Times New Roman;serif" w:hAnsi="Times New Roman;serif"/>
          <w:b w:val="false"/>
          <w:i/>
          <w:color w:val="000000"/>
          <w:sz w:val="24"/>
        </w:rPr>
        <w:t xml:space="preserve">force majeure — </w:t>
      </w:r>
      <w:r>
        <w:rPr>
          <w:rFonts w:ascii="Times New Roman;serif" w:hAnsi="Times New Roman;serif"/>
          <w:b w:val="false"/>
          <w:color w:val="000000"/>
          <w:sz w:val="24"/>
        </w:rPr>
        <w:t>that is circumstances beyond the reasonable control of the party, including, without limitation, acts of God, fire, flood, war, civil unrest, or shortage of or inability to obtain materials and equipment.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any clause or provision of this Agreement (or the application of such clause or provision to a particular set of circumstances) is declared by a court or other competent authority to be invalid, illegal, or unenforceable, such holding or declaration shall not in any way effect the validity or enforceability of any other clause or provision of this Agreement.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Entire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including its exhibits, if any, sets forth the entire understanding and agreement of the parties and supersedes any and all oral or written communications or understandings between the parties as to the subject matter of this Agreement and may not be changed, modified, or discharged, in whole or in part, except by a writing signed by both parties.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IX.    NOTICES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required to be given pursuant to the terms and provisions hereof shall be in writing and shall be sent by certified mail, return receipt requested;</w:t>
      </w:r>
    </w:p>
    <w:tbl>
      <w:tblPr>
        <w:tblW w:w="5790" w:type="dxa"/>
        <w:jc w:val="left"/>
        <w:tblInd w:w="0" w:type="dxa"/>
        <w:tblLayout w:type="fixed"/>
        <w:tblCellMar>
          <w:top w:w="28" w:type="dxa"/>
          <w:left w:w="28" w:type="dxa"/>
          <w:bottom w:w="28" w:type="dxa"/>
          <w:right w:w="28" w:type="dxa"/>
        </w:tblCellMar>
      </w:tblPr>
      <w:tblGrid>
        <w:gridCol w:w="620"/>
        <w:gridCol w:w="544"/>
        <w:gridCol w:w="546"/>
        <w:gridCol w:w="1193"/>
        <w:gridCol w:w="1193"/>
        <w:gridCol w:w="169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 Company:</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SpyGlass Ophthalmics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Glenn Sussman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26431 Crown Valley Parkway, Suite 250</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Mission Viejo, CA 92691</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 CU Medicine:</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Gail Albertson, Chief Operating Officer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University of Colorado Medicine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111719</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Aurora, CO 80042-1719</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street address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13199 East Montview Boulevard</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Aurora, CO 80045</w:t>
            </w:r>
          </w:p>
        </w:tc>
      </w:tr>
    </w:tbl>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X.    SIGNATURE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signing this Agreement, CU Medicine is acting on behalf of SOM in CU Medicine’s capacity as SOM’ s designated business and fiscal agent. All services to be performed pursuant to this Agreement will be carried out by Consultant as a SOM employee/faculty member, who at all times will be subject to and covered by SOM administrative policies and all applicable Colorado state law and regulation governing public employees of the state of Colorado and its component units and departments, including the University of Colorado and the University of Colorado School of Medicine.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3964" w:type="dxa"/>
        <w:jc w:val="left"/>
        <w:tblInd w:w="0" w:type="dxa"/>
        <w:tblLayout w:type="fixed"/>
        <w:tblCellMar>
          <w:top w:w="28" w:type="dxa"/>
          <w:left w:w="28" w:type="dxa"/>
          <w:bottom w:w="28" w:type="dxa"/>
          <w:right w:w="28" w:type="dxa"/>
        </w:tblCellMar>
      </w:tblPr>
      <w:tblGrid>
        <w:gridCol w:w="124"/>
        <w:gridCol w:w="109"/>
        <w:gridCol w:w="109"/>
        <w:gridCol w:w="619"/>
        <w:gridCol w:w="619"/>
        <w:gridCol w:w="621"/>
        <w:gridCol w:w="109"/>
        <w:gridCol w:w="109"/>
        <w:gridCol w:w="109"/>
        <w:gridCol w:w="354"/>
        <w:gridCol w:w="354"/>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2/21/2019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7385" w:type="dxa"/>
        <w:jc w:val="left"/>
        <w:tblInd w:w="0" w:type="dxa"/>
        <w:tblLayout w:type="fixed"/>
        <w:tblCellMar>
          <w:top w:w="28" w:type="dxa"/>
          <w:left w:w="28" w:type="dxa"/>
          <w:bottom w:w="28" w:type="dxa"/>
          <w:right w:w="28" w:type="dxa"/>
        </w:tblCellMar>
      </w:tblPr>
      <w:tblGrid>
        <w:gridCol w:w="124"/>
        <w:gridCol w:w="109"/>
        <w:gridCol w:w="109"/>
        <w:gridCol w:w="1758"/>
        <w:gridCol w:w="1758"/>
        <w:gridCol w:w="1764"/>
        <w:gridCol w:w="109"/>
        <w:gridCol w:w="109"/>
        <w:gridCol w:w="109"/>
        <w:gridCol w:w="354"/>
        <w:gridCol w:w="354"/>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Jane Schumaker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2/19/2019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Jane Schumaker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Solely with respect to its agreement in Section VII and without becoming a party to this Agreement:</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THE REGENTS OF THE UNIVERSITY OF COLORADO, A BODY CORPORATE, ON BEHALF OF THE UNIVERSITY OF COLORADO DENVER AT THE ANSCHUTZ MEDICAL CAMPUS</w:t>
      </w:r>
    </w:p>
    <w:tbl>
      <w:tblPr>
        <w:tblW w:w="5554" w:type="dxa"/>
        <w:jc w:val="left"/>
        <w:tblInd w:w="0" w:type="dxa"/>
        <w:tblLayout w:type="fixed"/>
        <w:tblCellMar>
          <w:top w:w="28" w:type="dxa"/>
          <w:left w:w="28" w:type="dxa"/>
          <w:bottom w:w="28" w:type="dxa"/>
          <w:right w:w="28" w:type="dxa"/>
        </w:tblCellMar>
      </w:tblPr>
      <w:tblGrid>
        <w:gridCol w:w="124"/>
        <w:gridCol w:w="109"/>
        <w:gridCol w:w="109"/>
        <w:gridCol w:w="1148"/>
        <w:gridCol w:w="1148"/>
        <w:gridCol w:w="1153"/>
        <w:gridCol w:w="109"/>
        <w:gridCol w:w="109"/>
        <w:gridCol w:w="109"/>
        <w:gridCol w:w="354"/>
        <w:gridCol w:w="354"/>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Kimberly Muller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2/15/2019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Kimberly Muller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Managing Director, CU Innovation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an amendment, effective 7/1/19, to the Agreement dated 2/1/19 between SpyGlass Ophthalmics, Inc. and University Physicians, Inc., d/b/a University of Colorado Medicine (CU Medicine), for the services of Dr. Malik Kahook.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rate of compensation shall be $20,834 per month.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 INC</w:t>
      </w:r>
    </w:p>
    <w:tbl>
      <w:tblPr>
        <w:tblW w:w="4295" w:type="dxa"/>
        <w:jc w:val="left"/>
        <w:tblInd w:w="0" w:type="dxa"/>
        <w:tblLayout w:type="fixed"/>
        <w:tblCellMar>
          <w:top w:w="28" w:type="dxa"/>
          <w:left w:w="28" w:type="dxa"/>
          <w:bottom w:w="28" w:type="dxa"/>
          <w:right w:w="28" w:type="dxa"/>
        </w:tblCellMar>
      </w:tblPr>
      <w:tblGrid>
        <w:gridCol w:w="124"/>
        <w:gridCol w:w="109"/>
        <w:gridCol w:w="109"/>
        <w:gridCol w:w="619"/>
        <w:gridCol w:w="619"/>
        <w:gridCol w:w="621"/>
        <w:gridCol w:w="109"/>
        <w:gridCol w:w="109"/>
        <w:gridCol w:w="109"/>
        <w:gridCol w:w="464"/>
        <w:gridCol w:w="464"/>
        <w:gridCol w:w="4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July 22, 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7716" w:type="dxa"/>
        <w:jc w:val="left"/>
        <w:tblInd w:w="0" w:type="dxa"/>
        <w:tblLayout w:type="fixed"/>
        <w:tblCellMar>
          <w:top w:w="28" w:type="dxa"/>
          <w:left w:w="28" w:type="dxa"/>
          <w:bottom w:w="28" w:type="dxa"/>
          <w:right w:w="28" w:type="dxa"/>
        </w:tblCellMar>
      </w:tblPr>
      <w:tblGrid>
        <w:gridCol w:w="124"/>
        <w:gridCol w:w="109"/>
        <w:gridCol w:w="109"/>
        <w:gridCol w:w="1758"/>
        <w:gridCol w:w="1758"/>
        <w:gridCol w:w="1764"/>
        <w:gridCol w:w="109"/>
        <w:gridCol w:w="109"/>
        <w:gridCol w:w="109"/>
        <w:gridCol w:w="464"/>
        <w:gridCol w:w="464"/>
        <w:gridCol w:w="4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Jane Schumaker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July 22, 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Jane Schumaker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 2nd amendment, effective April 1, 2020, to the Agreement dated February 1, 2019, between SpyGlass Ophthalmics and University Physicians, Inc., d/b/a University of Colorado Medicine (CU Medicine),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jc w:val="left"/>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March 31, 2021</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2.    The rate of compensation shall be $</w:t>
      </w:r>
      <w:r>
        <w:rPr>
          <w:rFonts w:ascii="Times New Roman;serif" w:hAnsi="Times New Roman;serif"/>
          <w:b w:val="false"/>
          <w:color w:val="000000"/>
          <w:sz w:val="24"/>
          <w:u w:val="single"/>
        </w:rPr>
        <w:t>21,450 per month</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4369" w:type="dxa"/>
        <w:jc w:val="left"/>
        <w:tblInd w:w="0" w:type="dxa"/>
        <w:tblLayout w:type="fixed"/>
        <w:tblCellMar>
          <w:top w:w="28" w:type="dxa"/>
          <w:left w:w="28" w:type="dxa"/>
          <w:bottom w:w="28" w:type="dxa"/>
          <w:right w:w="28" w:type="dxa"/>
        </w:tblCellMar>
      </w:tblPr>
      <w:tblGrid>
        <w:gridCol w:w="124"/>
        <w:gridCol w:w="109"/>
        <w:gridCol w:w="109"/>
        <w:gridCol w:w="754"/>
        <w:gridCol w:w="754"/>
        <w:gridCol w:w="756"/>
        <w:gridCol w:w="109"/>
        <w:gridCol w:w="109"/>
        <w:gridCol w:w="109"/>
        <w:gridCol w:w="354"/>
        <w:gridCol w:w="354"/>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4/23/2020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Ophthalmics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7819" w:type="dxa"/>
        <w:jc w:val="left"/>
        <w:tblInd w:w="0" w:type="dxa"/>
        <w:tblLayout w:type="fixed"/>
        <w:tblCellMar>
          <w:top w:w="28" w:type="dxa"/>
          <w:left w:w="28" w:type="dxa"/>
          <w:bottom w:w="28" w:type="dxa"/>
          <w:right w:w="28" w:type="dxa"/>
        </w:tblCellMar>
      </w:tblPr>
      <w:tblGrid>
        <w:gridCol w:w="124"/>
        <w:gridCol w:w="109"/>
        <w:gridCol w:w="109"/>
        <w:gridCol w:w="1757"/>
        <w:gridCol w:w="1757"/>
        <w:gridCol w:w="1765"/>
        <w:gridCol w:w="109"/>
        <w:gridCol w:w="109"/>
        <w:gridCol w:w="109"/>
        <w:gridCol w:w="499"/>
        <w:gridCol w:w="499"/>
        <w:gridCol w:w="5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April 22, 2020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240"/>
        <w:jc w:val="center"/>
        <w:rPr/>
      </w:pPr>
      <w:r>
        <w:rPr/>
        <w:drawing>
          <wp:inline distT="0" distB="0" distL="0" distR="0">
            <wp:extent cx="4524375" cy="419100"/>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17"/>
                    <a:stretch>
                      <a:fillRect/>
                    </a:stretch>
                  </pic:blipFill>
                  <pic:spPr bwMode="auto">
                    <a:xfrm>
                      <a:off x="0" y="0"/>
                      <a:ext cx="4524375" cy="419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26431 Crown Valley Parkway, Suite 250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Mission Viejo, CA 92691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pPr>
      <w:r>
        <w:rPr>
          <w:rFonts w:ascii="Times New Roman;serif" w:hAnsi="Times New Roman;serif"/>
          <w:b w:val="false"/>
          <w:color w:val="000000"/>
          <w:sz w:val="24"/>
        </w:rPr>
        <w:t>This is a 3rd amendment, effective March 1, 2020, to the Agreement dated February 1, 2019, between SpyGlass Ophthalmics and University Physicians, Inc., d/b/a University of Colorado Medicine (</w:t>
      </w:r>
      <w:r>
        <w:rPr>
          <w:color w:val="000000"/>
        </w:rPr>
        <w:t>“</w:t>
      </w:r>
      <w:r>
        <w:rPr>
          <w:rFonts w:ascii="Times New Roman;serif" w:hAnsi="Times New Roman;serif"/>
          <w:b w:val="false"/>
          <w:color w:val="000000"/>
          <w:sz w:val="24"/>
        </w:rPr>
        <w:t>CU Medicine</w:t>
      </w:r>
      <w:r>
        <w:rPr>
          <w:color w:val="000000"/>
        </w:rPr>
        <w:t>”</w:t>
      </w:r>
      <w:r>
        <w:rPr>
          <w:rFonts w:ascii="Times New Roman;serif" w:hAnsi="Times New Roman;serif"/>
          <w:b w:val="false"/>
          <w:color w:val="000000"/>
          <w:sz w:val="24"/>
        </w:rPr>
        <w:t>),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February 28, 2022</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2.    The rate of compensation shall be $</w:t>
      </w:r>
      <w:r>
        <w:rPr>
          <w:rFonts w:ascii="Times New Roman;serif" w:hAnsi="Times New Roman;serif"/>
          <w:b w:val="false"/>
          <w:color w:val="000000"/>
          <w:sz w:val="24"/>
          <w:u w:val="single"/>
        </w:rPr>
        <w:t>23,333.33 per month, beginning March 1, 2021</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4924" w:type="dxa"/>
        <w:jc w:val="left"/>
        <w:tblInd w:w="0" w:type="dxa"/>
        <w:tblLayout w:type="fixed"/>
        <w:tblCellMar>
          <w:top w:w="28" w:type="dxa"/>
          <w:left w:w="28" w:type="dxa"/>
          <w:bottom w:w="28" w:type="dxa"/>
          <w:right w:w="28" w:type="dxa"/>
        </w:tblCellMar>
      </w:tblPr>
      <w:tblGrid>
        <w:gridCol w:w="124"/>
        <w:gridCol w:w="109"/>
        <w:gridCol w:w="109"/>
        <w:gridCol w:w="754"/>
        <w:gridCol w:w="754"/>
        <w:gridCol w:w="756"/>
        <w:gridCol w:w="109"/>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March 15, 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Glenn Sussman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Ophthalmics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7939" w:type="dxa"/>
        <w:jc w:val="left"/>
        <w:tblInd w:w="0" w:type="dxa"/>
        <w:tblLayout w:type="fixed"/>
        <w:tblCellMar>
          <w:top w:w="28" w:type="dxa"/>
          <w:left w:w="28" w:type="dxa"/>
          <w:bottom w:w="28" w:type="dxa"/>
          <w:right w:w="28" w:type="dxa"/>
        </w:tblCellMar>
      </w:tblPr>
      <w:tblGrid>
        <w:gridCol w:w="124"/>
        <w:gridCol w:w="109"/>
        <w:gridCol w:w="109"/>
        <w:gridCol w:w="1757"/>
        <w:gridCol w:w="1757"/>
        <w:gridCol w:w="1765"/>
        <w:gridCol w:w="109"/>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March 12, 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3324225" cy="800100"/>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18"/>
                    <a:stretch>
                      <a:fillRect/>
                    </a:stretch>
                  </pic:blipFill>
                  <pic:spPr bwMode="auto">
                    <a:xfrm>
                      <a:off x="0" y="0"/>
                      <a:ext cx="3324225" cy="80010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27081 Aliso Creek Rd, Suite 125</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Aliso Viejo, CA 92656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 #4</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 4th amendment, effective March 1, 2022, to the Agreement dated February 1, 2019, between SpyGlass Pharma (formally SpyGlass Ophthalmics) and University Physicians, Inc., d/b/a University of Colorado Medicine (CU Medicine),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jc w:val="left"/>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February 28, 2023</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2.    The rate of compensation shall be $</w:t>
      </w:r>
      <w:r>
        <w:rPr>
          <w:rFonts w:ascii="Times New Roman;serif" w:hAnsi="Times New Roman;serif"/>
          <w:b w:val="false"/>
          <w:color w:val="000000"/>
          <w:sz w:val="24"/>
          <w:u w:val="single"/>
        </w:rPr>
        <w:t>23,333.33 per month</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5509"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09"/>
        <w:gridCol w:w="858"/>
        <w:gridCol w:w="858"/>
        <w:gridCol w:w="8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3/21/2022 | 5:21 PM PDT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Pharma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9035" w:type="dxa"/>
        <w:jc w:val="left"/>
        <w:tblInd w:w="0" w:type="dxa"/>
        <w:tblLayout w:type="fixed"/>
        <w:tblCellMar>
          <w:top w:w="28" w:type="dxa"/>
          <w:left w:w="28" w:type="dxa"/>
          <w:bottom w:w="28" w:type="dxa"/>
          <w:right w:w="28" w:type="dxa"/>
        </w:tblCellMar>
      </w:tblPr>
      <w:tblGrid>
        <w:gridCol w:w="124"/>
        <w:gridCol w:w="109"/>
        <w:gridCol w:w="109"/>
        <w:gridCol w:w="1777"/>
        <w:gridCol w:w="1777"/>
        <w:gridCol w:w="1786"/>
        <w:gridCol w:w="109"/>
        <w:gridCol w:w="109"/>
        <w:gridCol w:w="109"/>
        <w:gridCol w:w="883"/>
        <w:gridCol w:w="883"/>
        <w:gridCol w:w="8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3/21/2022 | 6:00 PM MDT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3324225" cy="800100"/>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19"/>
                    <a:stretch>
                      <a:fillRect/>
                    </a:stretch>
                  </pic:blipFill>
                  <pic:spPr bwMode="auto">
                    <a:xfrm>
                      <a:off x="0" y="0"/>
                      <a:ext cx="33242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27081 Aliso Creek Rd, Suite 125</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Aliso Viejo, CA 92656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 5th amendment, effective March 1, 2023, to the Agreement dated February 1, 2019, between SpyGlass Pharma (formally SpyGlass Ophthalmics) and University Physicians, Inc., d/b/a University of Colorado Medicine (CU Medicine),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jc w:val="left"/>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February 29, 2024</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2.    The rate of compensation shall be $</w:t>
      </w:r>
      <w:r>
        <w:rPr>
          <w:rFonts w:ascii="Times New Roman;serif" w:hAnsi="Times New Roman;serif"/>
          <w:b w:val="false"/>
          <w:color w:val="000000"/>
          <w:sz w:val="24"/>
          <w:u w:val="single"/>
        </w:rPr>
        <w:t>23,333.33 per month</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5464"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09"/>
        <w:gridCol w:w="843"/>
        <w:gridCol w:w="843"/>
        <w:gridCol w:w="8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3/10/2023 | 3:14 PM PST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Pharma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8990" w:type="dxa"/>
        <w:jc w:val="left"/>
        <w:tblInd w:w="0" w:type="dxa"/>
        <w:tblLayout w:type="fixed"/>
        <w:tblCellMar>
          <w:top w:w="28" w:type="dxa"/>
          <w:left w:w="28" w:type="dxa"/>
          <w:bottom w:w="28" w:type="dxa"/>
          <w:right w:w="28" w:type="dxa"/>
        </w:tblCellMar>
      </w:tblPr>
      <w:tblGrid>
        <w:gridCol w:w="124"/>
        <w:gridCol w:w="109"/>
        <w:gridCol w:w="109"/>
        <w:gridCol w:w="1777"/>
        <w:gridCol w:w="1777"/>
        <w:gridCol w:w="1786"/>
        <w:gridCol w:w="109"/>
        <w:gridCol w:w="109"/>
        <w:gridCol w:w="109"/>
        <w:gridCol w:w="868"/>
        <w:gridCol w:w="868"/>
        <w:gridCol w:w="8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3/10/2023 | 8:53 PM MST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3324225" cy="800100"/>
            <wp:effectExtent l="0" t="0" r="0" b="0"/>
            <wp:docPr id="10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 descr=""/>
                    <pic:cNvPicPr>
                      <a:picLocks noChangeAspect="1" noChangeArrowheads="1"/>
                    </pic:cNvPicPr>
                  </pic:nvPicPr>
                  <pic:blipFill>
                    <a:blip r:embed="rId20"/>
                    <a:stretch>
                      <a:fillRect/>
                    </a:stretch>
                  </pic:blipFill>
                  <pic:spPr bwMode="auto">
                    <a:xfrm>
                      <a:off x="0" y="0"/>
                      <a:ext cx="33242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27061 Aliso Creek Rd, Suite 100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Aliso Viejo, CA 92656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 6th amendment, effective March 1, 2024, to the Agreement dated February 1, 2019, between SpyGlass Pharma (formally SpyGlass Ophthalmics) and University Physicians, Inc., d/b/a University of Colorado Medicine (CU Medicine),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jc w:val="left"/>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February 28, 2025</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 xml:space="preserve">2.    The rate of compensation shall be </w:t>
      </w:r>
      <w:r>
        <w:rPr>
          <w:rFonts w:ascii="Times New Roman;serif" w:hAnsi="Times New Roman;serif"/>
          <w:b w:val="false"/>
          <w:color w:val="000000"/>
          <w:sz w:val="24"/>
          <w:u w:val="single"/>
        </w:rPr>
        <w:t>$24,150.00 per month</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5675"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09"/>
        <w:gridCol w:w="914"/>
        <w:gridCol w:w="914"/>
        <w:gridCol w:w="9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4/15/2024 | 10:44 AM PDT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Pharma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8691" w:type="dxa"/>
        <w:jc w:val="left"/>
        <w:tblInd w:w="0" w:type="dxa"/>
        <w:tblLayout w:type="fixed"/>
        <w:tblCellMar>
          <w:top w:w="28" w:type="dxa"/>
          <w:left w:w="28" w:type="dxa"/>
          <w:bottom w:w="28" w:type="dxa"/>
          <w:right w:w="28" w:type="dxa"/>
        </w:tblCellMar>
      </w:tblPr>
      <w:tblGrid>
        <w:gridCol w:w="124"/>
        <w:gridCol w:w="109"/>
        <w:gridCol w:w="109"/>
        <w:gridCol w:w="1777"/>
        <w:gridCol w:w="1777"/>
        <w:gridCol w:w="178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4/15/2024 | 8:30 CEST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3324225" cy="800100"/>
            <wp:effectExtent l="0" t="0" r="0" b="0"/>
            <wp:docPr id="10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 descr=""/>
                    <pic:cNvPicPr>
                      <a:picLocks noChangeAspect="1" noChangeArrowheads="1"/>
                    </pic:cNvPicPr>
                  </pic:nvPicPr>
                  <pic:blipFill>
                    <a:blip r:embed="rId21"/>
                    <a:stretch>
                      <a:fillRect/>
                    </a:stretch>
                  </pic:blipFill>
                  <pic:spPr bwMode="auto">
                    <a:xfrm>
                      <a:off x="0" y="0"/>
                      <a:ext cx="33242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27061 Aliso Creek Rd, Suite 100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Aliso Viejo, CA 92656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 7th amendment, effective March 1, 2025, to the Agreement dated February 1, 2019, between SpyGlass Pharma (formally SpyGlass Ophthalmics) and University Physicians, Inc., d/b/a University of Colorado Medicine (CU Medicine), for the services of Malik Kahook, M.D.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88" w:before="0" w:after="0"/>
        <w:jc w:val="left"/>
        <w:rPr/>
      </w:pPr>
      <w:r>
        <w:rPr>
          <w:rFonts w:ascii="Times New Roman;serif" w:hAnsi="Times New Roman;serif"/>
          <w:b w:val="false"/>
          <w:color w:val="000000"/>
          <w:sz w:val="24"/>
        </w:rPr>
        <w:t xml:space="preserve">1.    The term of the Agreement is extended until </w:t>
      </w:r>
      <w:r>
        <w:rPr>
          <w:rFonts w:ascii="Times New Roman;serif" w:hAnsi="Times New Roman;serif"/>
          <w:b w:val="false"/>
          <w:color w:val="000000"/>
          <w:sz w:val="24"/>
          <w:u w:val="single"/>
        </w:rPr>
        <w:t>February 28, 2026</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 xml:space="preserve">2.    The rate of compensation shall be </w:t>
      </w:r>
      <w:r>
        <w:rPr>
          <w:rFonts w:ascii="Times New Roman;serif" w:hAnsi="Times New Roman;serif"/>
          <w:b w:val="false"/>
          <w:color w:val="000000"/>
          <w:sz w:val="24"/>
          <w:u w:val="single"/>
        </w:rPr>
        <w:t>$24,995.00 per month</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SPYGLASS OPHTHALMICS</w:t>
      </w:r>
    </w:p>
    <w:tbl>
      <w:tblPr>
        <w:tblW w:w="5105"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09"/>
        <w:gridCol w:w="724"/>
        <w:gridCol w:w="724"/>
        <w:gridCol w:w="7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3/27/2025 | 5:40 PDT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Pharma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9035" w:type="dxa"/>
        <w:jc w:val="left"/>
        <w:tblInd w:w="0" w:type="dxa"/>
        <w:tblLayout w:type="fixed"/>
        <w:tblCellMar>
          <w:top w:w="28" w:type="dxa"/>
          <w:left w:w="28" w:type="dxa"/>
          <w:bottom w:w="28" w:type="dxa"/>
          <w:right w:w="28" w:type="dxa"/>
        </w:tblCellMar>
      </w:tblPr>
      <w:tblGrid>
        <w:gridCol w:w="124"/>
        <w:gridCol w:w="109"/>
        <w:gridCol w:w="109"/>
        <w:gridCol w:w="1777"/>
        <w:gridCol w:w="1777"/>
        <w:gridCol w:w="1786"/>
        <w:gridCol w:w="109"/>
        <w:gridCol w:w="109"/>
        <w:gridCol w:w="109"/>
        <w:gridCol w:w="883"/>
        <w:gridCol w:w="883"/>
        <w:gridCol w:w="8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3/25/2025 | 3:00 PM MDT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3324225" cy="800100"/>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22"/>
                    <a:stretch>
                      <a:fillRect/>
                    </a:stretch>
                  </pic:blipFill>
                  <pic:spPr bwMode="auto">
                    <a:xfrm>
                      <a:off x="0" y="0"/>
                      <a:ext cx="3324225" cy="800100"/>
                    </a:xfrm>
                    <a:prstGeom prst="rect">
                      <a:avLst/>
                    </a:prstGeom>
                  </pic:spPr>
                </pic:pic>
              </a:graphicData>
            </a:graphic>
          </wp:inline>
        </w:drawing>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27061 Aliso Creek Rd, Suite 100 </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Aliso Viejo, CA 92656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an 8th amendment, effective December 2, 2025, to the Agreement dated February 1, 2019, between SpyGlass Pharma (formally SpyGlass Ophthalmics) and University Physicians, Inc., d/b/a University of Colorado Medicine (CU Medicine), for the services of Malik Kahook, M.D.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hereby agree as follows:</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 xml:space="preserve">The term of the Agreement will auto-renew on </w:t>
      </w:r>
      <w:r>
        <w:rPr>
          <w:rFonts w:ascii="Times New Roman;serif" w:hAnsi="Times New Roman;serif"/>
          <w:b w:val="false"/>
          <w:color w:val="000000"/>
          <w:sz w:val="24"/>
          <w:u w:val="single"/>
        </w:rPr>
        <w:t>February 28th of each year</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other terms and conditions of the Agreement remain unchanged.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SPYGLASS PHARMA</w:t>
      </w:r>
    </w:p>
    <w:tbl>
      <w:tblPr>
        <w:tblW w:w="3340"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323"/>
        <w:gridCol w:w="323"/>
        <w:gridCol w:w="463"/>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12/4/2025</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SpyGlass Pharma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UNIVERSITY OF COLORADO MEDICINE</w:t>
      </w:r>
    </w:p>
    <w:tbl>
      <w:tblPr>
        <w:tblW w:w="6791" w:type="dxa"/>
        <w:jc w:val="left"/>
        <w:tblInd w:w="0" w:type="dxa"/>
        <w:tblLayout w:type="fixed"/>
        <w:tblCellMar>
          <w:top w:w="28" w:type="dxa"/>
          <w:left w:w="28" w:type="dxa"/>
          <w:bottom w:w="28" w:type="dxa"/>
          <w:right w:w="28" w:type="dxa"/>
        </w:tblCellMar>
      </w:tblPr>
      <w:tblGrid>
        <w:gridCol w:w="1941"/>
        <w:gridCol w:w="1703"/>
        <w:gridCol w:w="1711"/>
        <w:gridCol w:w="109"/>
        <w:gridCol w:w="109"/>
        <w:gridCol w:w="109"/>
        <w:gridCol w:w="323"/>
        <w:gridCol w:w="323"/>
        <w:gridCol w:w="463"/>
      </w:tblGrid>
      <w:tr>
        <w:trPr/>
        <w:tc>
          <w:tcPr>
            <w:tcW w:w="194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12/4/2025</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SpyGlass Pharma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UNIVERSITY OF COLORADO MEDICINE /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UNIVERSITY OF COLORADO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NOVATION AND AMENDMENT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Novation and Amendment is made this April 1, 2026 (“Effective Date”), by and SpyGlass Pharma, Inc. (formerly SpyGlass Ophthalmics, Inc) (“COMPANY”) with a business address of 27061 Aliso Creek Road, Suite 100, Aliso Viejo CA 92656; University Physicians, Inc., d/b/a University of Colorado Medicine (“CU MEDICINE”), with a business address of 13199 E. Montview Boulevard, Aurora, CO 80045, a Colorado non-profit corporation established by the Board of Regents of the University of Colorado to serve as the fiscal and business agent for the University of Colorado School of Medicine (“SOM”); and The Regents of the University of Colorado, a body corporate, at the University of Colorado Anschutz Medical Campus (“UNIVERSITY”), with a business address of 1890 N. Revere Court, Suite 6202, Aurora, CO 80045, on behalf of its faculty member, Malik Kahook, M.D. (“CONSULTANT”). Each Party to this Agreement may be referred to individually as a “Party” and collectively as the “Parties.”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COMPANY and CU MEDICINE entered into a Professional Services Agreement dated February 1, 2019 (the “Original Agreement”) for the services of CONSULTANT;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amended the Original Agreement to increase the monthly rate of compensation, effective on July 1, 2019;</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 Second Amendment on April 1, 2020 which amended the Original Agreement to increase the rate of compensation and extend the term until March 31, 2021;</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 Third Amendment on March 1, 2021 which amended the Original Agreement to increase the rate of compensation and extend the term until February 28, 2022;</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 Fourth Amendment on March 1, 2022 which amended the Original Agreement to increase the rate of compensation and extend the term until February 28, 2023;</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COMPANY and CU MEDICINE executed a Fifth Amendment on March 1, 2023 which amended the Original Agreement to increase the rate of compensation and extend the term until February 29, 2024;</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 Sixth Amendment on March 1, 2024 which amended the Original Agreement to increase the rate of compensation and extend the term until February 28, 2025;</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 Seventh Amendment on March 1, 2025 which amended the Original Agreement to increase the rate of compensation and extend the term until February 28,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COMPANY and CU MEDICINE executed an Eighth Amendment on December 2, 2025 which amended the Original Agreement to auto-renew on February 28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of each year;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Parties now desire to novate and amend the Original Agreement so that UNIVERSITY shall assume all obligations of CU MEDICINE under the Original Agreement as of the Effective Date, and COMPANY shall look solely to UNIVERSITY for performance; and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Parties further desire to extend the term of the Original Agreement through DATE, subject to all other terms and conditions remaining unchanged.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promises and covenants contained herein, the Parties agree as follows: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1. Novation.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1.1. </w:t>
      </w:r>
      <w:r>
        <w:rPr>
          <w:rFonts w:ascii="Times New Roman;serif" w:hAnsi="Times New Roman;serif"/>
          <w:b/>
          <w:color w:val="000000"/>
          <w:sz w:val="24"/>
        </w:rPr>
        <w:t>Agreement to Novate.</w:t>
      </w:r>
      <w:r>
        <w:rPr>
          <w:color w:val="000000"/>
        </w:rPr>
        <w:t xml:space="preserve"> </w:t>
      </w:r>
      <w:r>
        <w:rPr>
          <w:rFonts w:ascii="Times New Roman;serif" w:hAnsi="Times New Roman;serif"/>
          <w:b w:val="false"/>
          <w:color w:val="000000"/>
          <w:sz w:val="24"/>
        </w:rPr>
        <w:t>The Parties hereby agree that, as of the Effective Date, the Original Agreement as amended, dated February 1, 2019, by and between COMPANY and CU MEDICINE is hereby novated.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1.2. </w:t>
      </w:r>
      <w:r>
        <w:rPr>
          <w:rFonts w:ascii="Times New Roman;serif" w:hAnsi="Times New Roman;serif"/>
          <w:b/>
          <w:color w:val="000000"/>
          <w:sz w:val="24"/>
        </w:rPr>
        <w:t>Release of CU MEDICINE.</w:t>
      </w:r>
      <w:r>
        <w:rPr>
          <w:color w:val="000000"/>
        </w:rPr>
        <w:t xml:space="preserve"> </w:t>
      </w:r>
      <w:r>
        <w:rPr>
          <w:rFonts w:ascii="Times New Roman;serif" w:hAnsi="Times New Roman;serif"/>
          <w:b w:val="false"/>
          <w:color w:val="000000"/>
          <w:sz w:val="24"/>
        </w:rPr>
        <w:t>COMPANY hereby releases and forever discharges CU MEDICINE and its affiliates, officers, directors, employees, and agents from any and all claims, demands, obligations, liabilities, and causes of action of any nature whatsoever, whether known or unknown, arising under or in connection with the Original Agreement from and after the Effective Date.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1.3. </w:t>
      </w:r>
      <w:r>
        <w:rPr>
          <w:rFonts w:ascii="Times New Roman;serif" w:hAnsi="Times New Roman;serif"/>
          <w:b/>
          <w:color w:val="000000"/>
          <w:sz w:val="24"/>
        </w:rPr>
        <w:t>Assumption by UNIVERSITY.</w:t>
      </w:r>
      <w:r>
        <w:rPr>
          <w:color w:val="000000"/>
        </w:rPr>
        <w:t xml:space="preserve"> </w:t>
      </w:r>
      <w:r>
        <w:rPr>
          <w:rFonts w:ascii="Times New Roman;serif" w:hAnsi="Times New Roman;serif"/>
          <w:b w:val="false"/>
          <w:color w:val="000000"/>
          <w:sz w:val="24"/>
        </w:rPr>
        <w:t>UNIVERSITY hereby unconditionally assumes and agrees to pay, perform, and discharge, as and when due, all of the obligations, liabilities, and duties of CU MEDICINE arising under the Original Agreement, whether arising before, on, or after the Effective Date, and agrees to be bound by all terms and conditions of the Original Agreement as if it were the original Party thereto in place of CU MEDICINE.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1.4. </w:t>
      </w:r>
      <w:r>
        <w:rPr>
          <w:rFonts w:ascii="Times New Roman;serif" w:hAnsi="Times New Roman;serif"/>
          <w:b/>
          <w:color w:val="000000"/>
          <w:sz w:val="24"/>
        </w:rPr>
        <w:t>Consent and Acceptance.</w:t>
      </w:r>
      <w:r>
        <w:rPr>
          <w:color w:val="000000"/>
        </w:rPr>
        <w:t xml:space="preserve"> </w:t>
      </w:r>
      <w:r>
        <w:rPr>
          <w:rFonts w:ascii="Times New Roman;serif" w:hAnsi="Times New Roman;serif"/>
          <w:b w:val="false"/>
          <w:color w:val="000000"/>
          <w:sz w:val="24"/>
        </w:rPr>
        <w:t>COMPANY hereby consents to the foregoing assumption by UNIVERSITY and accepts the performance of UNIVERSITY in lieu of the performance of CU MEDICINE. From and after the Effective Date, COMPANY shall look solely to UNIVERSITY for the performance of all obligations under the Original Agreement. This Agreement shall henceforth be read and construed as an agreement between COMPANY and UNIVERSITY.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 xml:space="preserve">1.5. </w:t>
      </w:r>
      <w:r>
        <w:rPr>
          <w:rFonts w:ascii="Times New Roman;serif" w:hAnsi="Times New Roman;serif"/>
          <w:b/>
          <w:color w:val="000000"/>
          <w:sz w:val="24"/>
        </w:rPr>
        <w:t xml:space="preserve">No Further Liability. </w:t>
      </w:r>
      <w:r>
        <w:rPr>
          <w:rFonts w:ascii="Times New Roman;serif" w:hAnsi="Times New Roman;serif"/>
          <w:b w:val="false"/>
          <w:color w:val="000000"/>
          <w:sz w:val="24"/>
        </w:rPr>
        <w:t xml:space="preserve">The Parties acknowledge and agree that the release of CU MEDICINE constitutes a complete and final novation as of the Effective Date and that no party shall have any further claims or causes of action against CU MEDICINE under the Original Agreement. </w:t>
      </w:r>
    </w:p>
    <w:p>
      <w:pPr>
        <w:pStyle w:val="TextBody"/>
        <w:bidi w:val="0"/>
        <w:spacing w:before="0" w:after="0"/>
        <w:jc w:val="both"/>
        <w:rPr/>
      </w:pPr>
      <w:r>
        <w:rPr/>
      </w:r>
    </w:p>
    <w:p>
      <w:pPr>
        <w:pStyle w:val="TextBody"/>
        <w:bidi w:val="0"/>
        <w:spacing w:lineRule="auto" w:line="276"/>
        <w:jc w:val="both"/>
        <w:rPr/>
      </w:pPr>
      <w:r>
        <w:rPr>
          <w:rFonts w:ascii="Times New Roman;serif" w:hAnsi="Times New Roman;serif"/>
          <w:b w:val="false"/>
          <w:color w:val="000000"/>
          <w:sz w:val="24"/>
        </w:rPr>
        <w:t xml:space="preserve">1.6 </w:t>
      </w:r>
      <w:r>
        <w:rPr>
          <w:rFonts w:ascii="Times New Roman;serif" w:hAnsi="Times New Roman;serif"/>
          <w:b/>
          <w:color w:val="000000"/>
          <w:sz w:val="24"/>
        </w:rPr>
        <w:t xml:space="preserve">Compliance with Colorado Law. </w:t>
      </w:r>
      <w:r>
        <w:rPr>
          <w:rFonts w:ascii="Times New Roman;serif" w:hAnsi="Times New Roman;serif"/>
          <w:b w:val="false"/>
          <w:color w:val="000000"/>
          <w:sz w:val="24"/>
        </w:rPr>
        <w:t xml:space="preserve">Notwithstanding any provision to the contrary in the Original Agreement, the parties acknowledge and agree that the University, as a public institution of the State of Colorado, is subject to the Constitution and laws of the State of Colorado. Any term, condition, or provision within the Original Agreement that conflicts with the laws of the State of Colorado or is otherwise prohibited for the University to accept is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deemed null, void, and unenforceable as against the University. Such prohibited provisions include, but are not limited to, any clauses requiring the University to indemnify, defend, or hold harmless another party; any waiver of sovereign immunity; any provision consenting to a governing law or venue other than that of the State of Colorado; any agreement to pay attorney's fees, court costs, or other litigation expenses of another party; and any provision that creates a multi-year fiscal obligation in violation of the Colorado Constitution. In the event of any conflict or inconsistency between the terms of this SOW, the Master Agreement, and the laws of the State of Colorado, the laws of the State of Colorado shall prevail. The invalidity or unenforceability of any provision of the Original Agreement as applied to the University shall not affect the validity or enforceability of the remaining provisions thereof.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2. Amendments.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 xml:space="preserve">2.1 </w:t>
      </w:r>
      <w:r>
        <w:rPr>
          <w:rFonts w:ascii="Times New Roman;serif" w:hAnsi="Times New Roman;serif"/>
          <w:b/>
          <w:color w:val="000000"/>
          <w:sz w:val="24"/>
        </w:rPr>
        <w:t xml:space="preserve">Amendment to III. Compensation.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 xml:space="preserve">2.1.1 </w:t>
      </w:r>
      <w:r>
        <w:rPr>
          <w:rFonts w:ascii="Times New Roman;serif" w:hAnsi="Times New Roman;serif"/>
          <w:b/>
          <w:color w:val="000000"/>
          <w:sz w:val="24"/>
        </w:rPr>
        <w:t>Updated Compensation Rate.</w:t>
      </w:r>
      <w:r>
        <w:rPr>
          <w:color w:val="000000"/>
        </w:rPr>
        <w:t xml:space="preserve"> </w:t>
      </w:r>
      <w:r>
        <w:rPr>
          <w:rFonts w:ascii="Times New Roman;serif" w:hAnsi="Times New Roman;serif"/>
          <w:b w:val="false"/>
          <w:color w:val="000000"/>
          <w:sz w:val="24"/>
        </w:rPr>
        <w:t>The parties agree that the rate of compensation shall be $34,000 per month.</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 xml:space="preserve">2.1.2 </w:t>
      </w:r>
      <w:r>
        <w:rPr>
          <w:rFonts w:ascii="Times New Roman;serif" w:hAnsi="Times New Roman;serif"/>
          <w:b/>
          <w:color w:val="000000"/>
          <w:sz w:val="24"/>
        </w:rPr>
        <w:t xml:space="preserve">Billing Transition. </w:t>
      </w:r>
      <w:r>
        <w:rPr>
          <w:rFonts w:ascii="Times New Roman;serif" w:hAnsi="Times New Roman;serif"/>
          <w:b w:val="false"/>
          <w:color w:val="000000"/>
          <w:sz w:val="24"/>
        </w:rPr>
        <w:t>A new paragraph with the heading “Billing Transition” is added to Article III of the Original Agreement as follows:</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4"/>
        </w:rPr>
        <w:t>Billing Transition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Notwithstanding the novation effected by this Agreement, all amounts, payments, or other monetary obligations that became due and payable to CU MEDICINE for services prior to the Effective Date of this Agreement shall remain the sole property of and collectible by CU MEDICINE. Such obligations shall not be assigned, transferred, or otherwise conveyed to the UNIVERSITY and shall continue to be enforceable by CU MEDICINE in accordance with the terms of the Original Agreement.</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(b) As part of this Agreement, CU MEDICINE shall retain the right to issue invoices and collect payment for any services rendered prior to the Effective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 Beginning with services performed on and after the Effective Date, all invoices shall be issued by The Regents of the University of Colorado, acting through its CU Innovations office (“CU Innovations”).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(d) Beginning on the Effective Date all payments due for services performed on or after the Effective Date shall be remitted to the payment address and in accordance with the instructions set forth below.</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Payment Address: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University of Colorado</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CU Innovations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1890 N. Revere Court, Suite 6202</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Aurora, CO 80045</w:t>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Payments shall be payable to “Regents of the University of Colorado” and submitted by electronic payment to:</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Payment shall be due within thirty (30) calendar days from the earlier of: (i) the date of receipt of an invoice, or (ii) the date on which the services are rendered. Any payment not received by the due date shall accrue interest at a rate of one percent (1%) per month, or the maximum rate permitted under applicable law, whichever is higher, until paid in full.</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2.3 </w:t>
      </w:r>
      <w:r>
        <w:rPr>
          <w:rFonts w:ascii="Times New Roman;serif" w:hAnsi="Times New Roman;serif"/>
          <w:b/>
          <w:color w:val="000000"/>
          <w:sz w:val="24"/>
        </w:rPr>
        <w:t>Amendment to IX. Notices.</w:t>
      </w:r>
      <w:r>
        <w:rPr>
          <w:color w:val="000000"/>
        </w:rPr>
        <w:t xml:space="preserve"> </w:t>
      </w:r>
      <w:r>
        <w:rPr>
          <w:rFonts w:ascii="Times New Roman;serif" w:hAnsi="Times New Roman;serif"/>
          <w:b w:val="false"/>
          <w:color w:val="000000"/>
          <w:sz w:val="24"/>
        </w:rPr>
        <w:t>Article IX of the Original Agreement is amended as follows: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 The notice block addressed to “University of Colorado Medicine” is deleted in its entirety.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(b) The notice block for CU Innovations is replaced with the following:</w:t>
      </w:r>
      <w:r>
        <w:rPr>
          <w:color w:val="000000"/>
        </w:rPr>
        <w:t xml:space="preserve"> </w:t>
      </w:r>
    </w:p>
    <w:p>
      <w:pPr>
        <w:pStyle w:val="TextBody"/>
        <w:bidi w:val="0"/>
        <w:spacing w:lineRule="auto" w:line="268" w:before="0" w:after="0"/>
        <w:jc w:val="left"/>
        <w:rPr/>
      </w:pPr>
      <w:r>
        <w:rPr>
          <w:color w:val="000000"/>
        </w:rPr>
        <w:t>“</w:t>
      </w:r>
      <w:r>
        <w:rPr>
          <w:rFonts w:ascii="Times New Roman;serif" w:hAnsi="Times New Roman;serif"/>
          <w:b w:val="false"/>
          <w:color w:val="000000"/>
          <w:sz w:val="24"/>
        </w:rPr>
        <w:t>to CU Innovations:</w:t>
      </w:r>
      <w:r>
        <w:rPr>
          <w:color w:val="000000"/>
        </w:rPr>
        <w:t xml:space="preserve"> </w:t>
      </w:r>
      <w:r>
        <w:rPr>
          <w:rFonts w:ascii="Times New Roman;serif" w:hAnsi="Times New Roman;serif"/>
          <w:b w:val="false"/>
          <w:color w:val="000000"/>
          <w:sz w:val="24"/>
        </w:rPr>
        <w:t>CU Innovations</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Attn: Mary Tapolsky, PhD, Director, Licensing</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University of Colorado Anschutz</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1890 N. Revere Court, Suite 6202</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Aurora, CO 80045</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Email: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All other terms and conditions of the Original Agreement remain unchanged.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SpyGlass Pharma (formerly SpyGlass Ophthalmics)</w:t>
      </w:r>
    </w:p>
    <w:p>
      <w:pPr>
        <w:pStyle w:val="TextBody"/>
        <w:bidi w:val="0"/>
        <w:spacing w:before="0" w:after="0"/>
        <w:jc w:val="left"/>
        <w:rPr/>
      </w:pPr>
      <w:r>
        <w:rPr/>
      </w:r>
    </w:p>
    <w:p>
      <w:pPr>
        <w:pStyle w:val="TextBody"/>
        <w:bidi w:val="0"/>
        <w:spacing w:before="0" w:after="0"/>
        <w:jc w:val="left"/>
        <w:rPr/>
      </w:pPr>
      <w:r>
        <w:rPr/>
      </w:r>
    </w:p>
    <w:tbl>
      <w:tblPr>
        <w:tblW w:w="4376"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323"/>
        <w:gridCol w:w="323"/>
        <w:gridCol w:w="463"/>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3/23/2026</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UNIVERSITY OF COLORADO MEDICINE</w:t>
      </w:r>
    </w:p>
    <w:p>
      <w:pPr>
        <w:pStyle w:val="TextBody"/>
        <w:bidi w:val="0"/>
        <w:spacing w:before="0" w:after="0"/>
        <w:jc w:val="left"/>
        <w:rPr/>
      </w:pPr>
      <w:r>
        <w:rPr/>
      </w:r>
    </w:p>
    <w:p>
      <w:pPr>
        <w:pStyle w:val="TextBody"/>
        <w:bidi w:val="0"/>
        <w:spacing w:before="0" w:after="0"/>
        <w:jc w:val="left"/>
        <w:rPr/>
      </w:pPr>
      <w:r>
        <w:rPr/>
      </w:r>
    </w:p>
    <w:tbl>
      <w:tblPr>
        <w:tblW w:w="6791" w:type="dxa"/>
        <w:jc w:val="left"/>
        <w:tblInd w:w="0" w:type="dxa"/>
        <w:tblLayout w:type="fixed"/>
        <w:tblCellMar>
          <w:top w:w="28" w:type="dxa"/>
          <w:left w:w="28" w:type="dxa"/>
          <w:bottom w:w="28" w:type="dxa"/>
          <w:right w:w="28" w:type="dxa"/>
        </w:tblCellMar>
      </w:tblPr>
      <w:tblGrid>
        <w:gridCol w:w="1941"/>
        <w:gridCol w:w="1703"/>
        <w:gridCol w:w="1711"/>
        <w:gridCol w:w="109"/>
        <w:gridCol w:w="109"/>
        <w:gridCol w:w="109"/>
        <w:gridCol w:w="323"/>
        <w:gridCol w:w="323"/>
        <w:gridCol w:w="463"/>
      </w:tblGrid>
      <w:tr>
        <w:trPr/>
        <w:tc>
          <w:tcPr>
            <w:tcW w:w="194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3/23/2026</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T.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5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 CU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Senior Associate Dean for Finance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University of Colorado School of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THE REGENTS OF THE UNIVERSITY OF COLORADO</w:t>
      </w:r>
    </w:p>
    <w:p>
      <w:pPr>
        <w:pStyle w:val="TextBody"/>
        <w:bidi w:val="0"/>
        <w:spacing w:before="0" w:after="0"/>
        <w:jc w:val="left"/>
        <w:rPr/>
      </w:pPr>
      <w:r>
        <w:rPr/>
      </w:r>
    </w:p>
    <w:p>
      <w:pPr>
        <w:pStyle w:val="TextBody"/>
        <w:bidi w:val="0"/>
        <w:spacing w:before="0" w:after="0"/>
        <w:jc w:val="left"/>
        <w:rPr/>
      </w:pPr>
      <w:r>
        <w:rPr/>
      </w:r>
    </w:p>
    <w:tbl>
      <w:tblPr>
        <w:tblW w:w="4706" w:type="dxa"/>
        <w:jc w:val="left"/>
        <w:tblInd w:w="0" w:type="dxa"/>
        <w:tblLayout w:type="fixed"/>
        <w:tblCellMar>
          <w:top w:w="28" w:type="dxa"/>
          <w:left w:w="28" w:type="dxa"/>
          <w:bottom w:w="28" w:type="dxa"/>
          <w:right w:w="28" w:type="dxa"/>
        </w:tblCellMar>
      </w:tblPr>
      <w:tblGrid>
        <w:gridCol w:w="1184"/>
        <w:gridCol w:w="1040"/>
        <w:gridCol w:w="1046"/>
        <w:gridCol w:w="109"/>
        <w:gridCol w:w="109"/>
        <w:gridCol w:w="109"/>
        <w:gridCol w:w="323"/>
        <w:gridCol w:w="323"/>
        <w:gridCol w:w="463"/>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Mary Tapolsky,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3/23/2026</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Mary Tapolsky,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Director, 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CU Innovations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University of Colorado Anschutz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Patrick Mooney, certify that: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SpyGlass Pharma, Inc.;</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Mooney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Patrick Mooney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2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Jean-Frédéric Viret, certify that: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SpyGlass Pharma, Inc.;</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Jean-Frédéric Viret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Jean-Frédéric Viret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SPYGLASS PHARMA, INC.</w:t>
      </w:r>
    </w:p>
    <w:p>
      <w:pPr>
        <w:pStyle w:val="TextBody"/>
        <w:bidi w:val="0"/>
        <w:spacing w:lineRule="auto" w:line="288" w:before="0" w:after="0"/>
        <w:jc w:val="center"/>
        <w:rPr/>
      </w:pPr>
      <w:r>
        <w:rPr>
          <w:rFonts w:ascii="Times New Roman;serif" w:hAnsi="Times New Roman;serif"/>
          <w:b/>
          <w:color w:val="000000"/>
          <w:sz w:val="20"/>
        </w:rPr>
        <w:t>CERTIFICATION OF PRINCIPAL EXECUTIVE OFFICER PURSUANT TO</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18 U.S.C. SECTION 1350,</w:t>
      </w:r>
      <w:r>
        <w:rPr>
          <w:color w:val="000000"/>
        </w:rPr>
        <w:t xml:space="preserve"> </w:t>
      </w: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SpyGlass Pharma, Inc. (the “Company”) on Form 10-Q for the period ending March 31, 2026, as filed with the Securities and Exchange Commission on the date hereof (the “Report”), I, Patrick Mooney, certify, pursuant to 18 U.S.C. Section 1350, as adopted pursuant to Section 906 of the Sarbanes-Oxley Act of 2002, that to my knowledge: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Mooney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Patrick Mooney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SPYGLASS 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SpyGlass Pharma, Inc. (the “Company”) on Form 10-Q for the period ending March 31, 2026, as filed with the Securities and Exchange Commission on the date hereof (the “Report”), I, Jean-Frédéric Viret, certify, pursuant to 18 U.S.C. Section 1350, as adopted pursuant to Section 906 of the Sarbanes-Oxley Act of 2002, that to my knowledge: </w:t>
      </w:r>
    </w:p>
    <w:p>
      <w:pPr>
        <w:pStyle w:val="TextBody"/>
        <w:bidi w:val="0"/>
        <w:spacing w:before="240" w:after="283"/>
        <w:ind w:left="0" w:right="0" w:firstLine="816"/>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Jean-Frédéric Viret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Jean-Frédéric Viret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8922/000162828026006460/exhibit31-closing8xk.htm" TargetMode="External"/><Relationship Id="rId3" Type="http://schemas.openxmlformats.org/officeDocument/2006/relationships/hyperlink" Target="https://www.sec.gov/Archives/edgar/data/1778922/000162828026006460/exhibit32-closing8xk.htm" TargetMode="External"/><Relationship Id="rId4" Type="http://schemas.openxmlformats.org/officeDocument/2006/relationships/hyperlink" Target="https://www.sec.gov/Archives/edgar/data/1778922/000162828026004091/exhibit41-sx1a.htm" TargetMode="External"/><Relationship Id="rId5" Type="http://schemas.openxmlformats.org/officeDocument/2006/relationships/hyperlink" Target="https://www.sec.gov/Archives/edgar/data/1778922/000162828026002356/exhibit42-sx1.htm" TargetMode="External"/><Relationship Id="rId6" Type="http://schemas.openxmlformats.org/officeDocument/2006/relationships/hyperlink" Target="https://www.sec.gov/Archives/edgar/data/1778922/000162828026002356/exhibit101-sx1.htm" TargetMode="External"/><Relationship Id="rId7" Type="http://schemas.openxmlformats.org/officeDocument/2006/relationships/hyperlink" Target="https://www.sec.gov/Archives/edgar/data/1778922/000162828026004091/exhibit102-sx1a.htm" TargetMode="External"/><Relationship Id="rId8" Type="http://schemas.openxmlformats.org/officeDocument/2006/relationships/hyperlink" Target="https://www.sec.gov/Archives/edgar/data/1778922/000162828026004091/exhibit103-sx1a.htm" TargetMode="External"/><Relationship Id="rId9" Type="http://schemas.openxmlformats.org/officeDocument/2006/relationships/hyperlink" Target="https://www.sec.gov/Archives/edgar/data/1778922/000162828026002356/exhibit104-sx1.htm" TargetMode="External"/><Relationship Id="rId10" Type="http://schemas.openxmlformats.org/officeDocument/2006/relationships/hyperlink" Target="https://www.sec.gov/Archives/edgar/data/1778922/000162828026004091/exhibit105-sx1a.htm" TargetMode="External"/><Relationship Id="rId11" Type="http://schemas.openxmlformats.org/officeDocument/2006/relationships/hyperlink" Target="https://www.sec.gov/Archives/edgar/data/1778922/000162828026004091/exhibit106-sx1a.htm" TargetMode="External"/><Relationship Id="rId12" Type="http://schemas.openxmlformats.org/officeDocument/2006/relationships/hyperlink" Target="https://www.sec.gov/Archives/edgar/data/1778922/000162828026004091/exhibit107-sx1a.htm" TargetMode="External"/><Relationship Id="rId13" Type="http://schemas.openxmlformats.org/officeDocument/2006/relationships/hyperlink" Target="https://www.sec.gov/Archives/edgar/data/1778922/000162828026004091/exhibit108-sx1a.htm" TargetMode="External"/><Relationship Id="rId14" Type="http://schemas.openxmlformats.org/officeDocument/2006/relationships/hyperlink" Target="https://www.sec.gov/Archives/edgar/data/1778922/000162828026004091/exhibit109-sx1a.htm" TargetMode="External"/><Relationship Id="rId15" Type="http://schemas.openxmlformats.org/officeDocument/2006/relationships/hyperlink" Target="https://www.sec.gov/Archives/edgar/data/1778922/000162828026004091/exhibit1010-sx1a.htm" TargetMode="External"/><Relationship Id="rId16" Type="http://schemas.openxmlformats.org/officeDocument/2006/relationships/hyperlink" Target="https://www.sec.gov/Archives/edgar/data/1778922/000162828026004091/exhibit1012-sx1a.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73042</Words>
  <Characters>408441</Characters>
  <CharactersWithSpaces>479646</CharactersWithSpaces>
  <Paragraphs>2482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