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Washington, D.C. 20549</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10-Q</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120"/>
        <w:jc w:val="left"/>
        <w:rPr>
          <w:rFonts w:ascii="Trade Gothic;sans-serif" w:hAnsi="Trade Gothic;sans-serif"/>
          <w:b/>
          <w:color w:val="000000"/>
          <w:sz w:val="19"/>
        </w:rPr>
      </w:pPr>
      <w:r>
        <w:rPr>
          <w:rFonts w:ascii="Trade Gothic;sans-serif" w:hAnsi="Trade Gothic;sans-serif"/>
          <w:b/>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color w:val="000000"/>
                <w:sz w:val="19"/>
              </w:rPr>
            </w:pPr>
            <w:r>
              <w:rPr>
                <w:rFonts w:ascii="Wingdings;sans-serif" w:hAnsi="Wingdings;sans-serif"/>
                <w:b/>
                <w:color w:val="000000"/>
                <w:sz w:val="19"/>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color w:val="000000"/>
                <w:sz w:val="19"/>
              </w:rPr>
            </w:pPr>
            <w:r>
              <w:rPr>
                <w:rFonts w:ascii="Trade Gothic;sans-serif" w:hAnsi="Trade Gothic;sans-serif"/>
                <w:b/>
                <w:color w:val="000000"/>
                <w:sz w:val="19"/>
              </w:rPr>
              <w:t xml:space="preserve">QUARTERLY REPORT PURSUANT TO SECTION 13 OR 15(d) OF THE SECURITIES EXCHANGE ACT OF 1934 </w:t>
            </w:r>
          </w:p>
        </w:tc>
      </w:tr>
    </w:tbl>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For the quarterly period ended June 30, 2026</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color w:val="000000"/>
                <w:sz w:val="19"/>
              </w:rPr>
            </w:pPr>
            <w:r>
              <w:rPr>
                <w:rFonts w:ascii="Wingdings;sans-serif" w:hAnsi="Wingdings;sans-serif"/>
                <w:b/>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TRANSITION REPORT PURSUANT TO SECTION 13 OR 15(d) OF THE SECURITIES EXCHANGE ACT OF 1934</w:t>
            </w:r>
          </w:p>
        </w:tc>
      </w:tr>
    </w:tbl>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For the transition period from    to    </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Commission file number 001-43105</w:t>
      </w:r>
    </w:p>
    <w:p>
      <w:pPr>
        <w:pStyle w:val="TextBody"/>
        <w:bidi w:val="0"/>
        <w:spacing w:lineRule="auto" w:line="288" w:before="0" w:after="120"/>
        <w:jc w:val="center"/>
        <w:rPr>
          <w:rFonts w:ascii="Trade Gothic;sans-serif" w:hAnsi="Trade Gothic;sans-serif"/>
          <w:b/>
          <w:color w:val="000000"/>
          <w:sz w:val="19"/>
        </w:rPr>
      </w:pPr>
      <w:r>
        <w:rPr>
          <w:rFonts w:ascii="Trade Gothic;sans-serif" w:hAnsi="Trade Gothic;sans-serif"/>
          <w:b/>
          <w:color w:val="000000"/>
          <w:sz w:val="19"/>
        </w:rPr>
        <w:t>___________________________</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SpyGlass Pharma, Inc.</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(Exact name of registrant as specified in its charter)</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___________________________</w:t>
      </w:r>
    </w:p>
    <w:tbl>
      <w:tblPr>
        <w:tblW w:w="5849" w:type="dxa"/>
        <w:jc w:val="left"/>
        <w:tblInd w:w="0" w:type="dxa"/>
        <w:tblLayout w:type="fixed"/>
        <w:tblCellMar>
          <w:top w:w="28" w:type="dxa"/>
          <w:left w:w="28" w:type="dxa"/>
          <w:bottom w:w="28" w:type="dxa"/>
          <w:right w:w="28" w:type="dxa"/>
        </w:tblCellMar>
      </w:tblPr>
      <w:tblGrid>
        <w:gridCol w:w="1434"/>
        <w:gridCol w:w="1259"/>
        <w:gridCol w:w="1266"/>
        <w:gridCol w:w="554"/>
        <w:gridCol w:w="554"/>
        <w:gridCol w:w="782"/>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Delaware</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83-3044245</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 xml:space="preserve">(State or other jurisdiction of </w:t>
              <w:br/>
              <w:t>incorporation or organization)</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 xml:space="preserve">(I.R.S. Employer </w:t>
              <w:br/>
              <w:t>Identification No.)</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15326 Alton Parkway</w:t>
            </w:r>
          </w:p>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Irvine, California</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color w:val="000000"/>
                <w:sz w:val="19"/>
              </w:rPr>
            </w:pPr>
            <w:r>
              <w:rPr>
                <w:rFonts w:ascii="Trade Gothic;sans-serif" w:hAnsi="Trade Gothic;sans-serif"/>
                <w:b/>
                <w:color w:val="000000"/>
                <w:sz w:val="19"/>
              </w:rPr>
              <w:t>92618</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(Address of Principal Executive Offices)</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(Zip Code)</w:t>
            </w:r>
          </w:p>
        </w:tc>
      </w:tr>
    </w:tbl>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(949) 284-6904</w:t>
      </w:r>
    </w:p>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(Registrant’s telephone number, including area code)</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27061 Aliso Creek Rd., Suite 100</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Aliso Viejo, California 92656</w:t>
      </w:r>
    </w:p>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(Former name, former address and former fiscal year, if changed since last report)</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64"/>
        <w:gridCol w:w="1229"/>
        <w:gridCol w:w="1234"/>
        <w:gridCol w:w="631"/>
        <w:gridCol w:w="631"/>
        <w:gridCol w:w="633"/>
        <w:gridCol w:w="1280"/>
        <w:gridCol w:w="1280"/>
        <w:gridCol w:w="1823"/>
      </w:tblGrid>
      <w:tr>
        <w:trPr/>
        <w:tc>
          <w:tcPr>
            <w:tcW w:w="146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Title of each class</w:t>
            </w:r>
          </w:p>
        </w:tc>
        <w:tc>
          <w:tcPr>
            <w:tcW w:w="18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Trading Symbol(s)</w:t>
            </w:r>
          </w:p>
        </w:tc>
        <w:tc>
          <w:tcPr>
            <w:tcW w:w="438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rade Gothic;sans-serif" w:hAnsi="Trade Gothic;sans-serif"/>
                <w:b/>
                <w:color w:val="000000"/>
                <w:sz w:val="19"/>
              </w:rPr>
            </w:pPr>
            <w:r>
              <w:rPr>
                <w:rFonts w:ascii="Trade Gothic;sans-serif" w:hAnsi="Trade Gothic;sans-serif"/>
                <w:b/>
                <w:color w:val="000000"/>
                <w:sz w:val="19"/>
              </w:rPr>
              <w:t>Name of each exchange on which registered</w:t>
            </w:r>
          </w:p>
        </w:tc>
      </w:tr>
      <w:tr>
        <w:trPr/>
        <w:tc>
          <w:tcPr>
            <w:tcW w:w="39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Common Stock, par value $0.00001 per share</w:t>
            </w:r>
          </w:p>
        </w:tc>
        <w:tc>
          <w:tcPr>
            <w:tcW w:w="18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SGP</w:t>
            </w:r>
          </w:p>
        </w:tc>
        <w:tc>
          <w:tcPr>
            <w:tcW w:w="438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The Nasdaq Stock Market LLC</w:t>
            </w:r>
          </w:p>
        </w:tc>
      </w:tr>
    </w:tbl>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60"/>
        <w:jc w:val="left"/>
        <w:rPr>
          <w:rFonts w:ascii="Trade Gothic;sans-serif" w:hAnsi="Trade Gothic;sans-serif"/>
          <w:b w:val="false"/>
          <w:color w:val="000000"/>
          <w:sz w:val="16"/>
        </w:rPr>
      </w:pPr>
      <w:r>
        <w:rPr>
          <w:rFonts w:ascii="Trade Gothic;sans-serif" w:hAnsi="Trade Gothic;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6"/>
              </w:rPr>
            </w:pPr>
            <w:r>
              <w:rPr>
                <w:rFonts w:ascii="Trade Gothic;sans-serif" w:hAnsi="Trade Gothic;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6"/>
              </w:rPr>
            </w:pPr>
            <w:r>
              <w:rPr>
                <w:rFonts w:ascii="Trade Gothic;sans-serif" w:hAnsi="Trade Gothic;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0" w:after="160"/>
        <w:jc w:val="left"/>
        <w:rPr/>
      </w:pPr>
      <w:r>
        <w:rPr>
          <w:rFonts w:ascii="Trade Gothic;sans-serif" w:hAnsi="Trade Gothic;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60"/>
        <w:jc w:val="left"/>
        <w:rPr/>
      </w:pPr>
      <w:r>
        <w:rPr>
          <w:rFonts w:ascii="Trade Gothic;sans-serif" w:hAnsi="Trade Gothic;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rade Gothic;sans-serif" w:hAnsi="Trade Gothic;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60"/>
        <w:jc w:val="left"/>
        <w:rPr>
          <w:rFonts w:ascii="Trade Gothic;sans-serif" w:hAnsi="Trade Gothic;sans-serif"/>
          <w:b w:val="false"/>
          <w:color w:val="000000"/>
          <w:sz w:val="16"/>
        </w:rPr>
      </w:pPr>
      <w:r>
        <w:rPr>
          <w:rFonts w:ascii="Trade Gothic;sans-serif" w:hAnsi="Trade Gothic;sans-serif"/>
          <w:b w:val="false"/>
          <w:color w:val="000000"/>
          <w:sz w:val="16"/>
        </w:rPr>
        <w:t>The number of shares of the registrant’s common stock, par value $0.00001 per share, outstanding as of July 29, 2026 was 33,447,979.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13"/>
        <w:gridCol w:w="275"/>
        <w:gridCol w:w="277"/>
        <w:gridCol w:w="2897"/>
        <w:gridCol w:w="2863"/>
        <w:gridCol w:w="2870"/>
        <w:gridCol w:w="206"/>
        <w:gridCol w:w="206"/>
        <w:gridCol w:w="298"/>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20"/>
              </w:rPr>
            </w:pPr>
            <w:r>
              <w:rPr>
                <w:rFonts w:ascii="Trade Gothic;sans-serif" w:hAnsi="Trade Gothic;sans-serif"/>
                <w:b/>
                <w:color w:val="000000"/>
                <w:sz w:val="20"/>
              </w:rPr>
              <w:t>Page</w:t>
            </w:r>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color w:val="000000"/>
                <w:sz w:val="20"/>
              </w:rPr>
            </w:pPr>
            <w:r>
              <w:rPr>
                <w:rFonts w:ascii="Trade Gothic;sans-serif" w:hAnsi="Trade Gothic;sans-serif"/>
                <w:b/>
                <w:color w:val="000000"/>
                <w:sz w:val="20"/>
              </w:rPr>
              <w:t>PART I</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eb84bac78fd4053b6dbf77091167dbb_142">
              <w:r>
                <w:rPr>
                  <w:rStyle w:val="InternetLink"/>
                  <w:rFonts w:ascii="Trade Gothic;sans-serif" w:hAnsi="Trade Gothic;sans-serif"/>
                  <w:b/>
                  <w:color w:val="000080"/>
                  <w:sz w:val="20"/>
                  <w:u w:val="single"/>
                </w:rPr>
                <w:t>F</w:t>
              </w:r>
            </w:hyperlink>
            <w:hyperlink w:anchor="i7eb84bac78fd4053b6dbf77091167dbb_142">
              <w:r>
                <w:rPr>
                  <w:rStyle w:val="InternetLink"/>
                  <w:rFonts w:ascii="Trade Gothic;sans-serif" w:hAnsi="Trade Gothic;sans-serif"/>
                  <w:b/>
                  <w:color w:val="000080"/>
                  <w:sz w:val="20"/>
                  <w:u w:val="single"/>
                </w:rPr>
                <w:t>INANCIAL INFORMATION</w:t>
              </w:r>
            </w:hyperlink>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7eb84bac78fd4053b6dbf77091167dbb_142">
              <w:r>
                <w:rPr>
                  <w:rStyle w:val="InternetLink"/>
                  <w:rFonts w:ascii="Trade Gothic;sans-serif" w:hAnsi="Trade Gothic;sans-serif"/>
                  <w:b w:val="false"/>
                  <w:strike w:val="false"/>
                  <w:dstrike w:val="false"/>
                  <w:color w:val="000000"/>
                  <w:sz w:val="20"/>
                  <w:u w:val="none"/>
                  <w:effect w:val="none"/>
                </w:rPr>
                <w:t>5</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eb84bac78fd4053b6dbf77091167dbb_143">
              <w:r>
                <w:rPr>
                  <w:rStyle w:val="InternetLink"/>
                  <w:rFonts w:ascii="Trade Gothic;sans-serif" w:hAnsi="Trade Gothic;sans-serif"/>
                  <w:b/>
                  <w:color w:val="3051F2"/>
                  <w:sz w:val="20"/>
                  <w:u w:val="single"/>
                </w:rPr>
                <w:t>Financial Statements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b84bac78fd4053b6dbf77091167dbb_143">
              <w:r>
                <w:rPr>
                  <w:rStyle w:val="InternetLink"/>
                  <w:rFonts w:ascii="Trade Gothic;sans-serif" w:hAnsi="Trade Gothic;sans-serif"/>
                  <w:b w:val="false"/>
                  <w:strike w:val="false"/>
                  <w:dstrike w:val="false"/>
                  <w:color w:val="000000"/>
                  <w:sz w:val="20"/>
                  <w:u w:val="none"/>
                  <w:effect w:val="none"/>
                </w:rPr>
                <w:t>5</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bed870bfc65400781eb9f254f1d97a5_224">
              <w:r>
                <w:rPr>
                  <w:rStyle w:val="InternetLink"/>
                  <w:rFonts w:ascii="Trade Gothic;sans-serif" w:hAnsi="Trade Gothic;sans-serif"/>
                  <w:b/>
                  <w:color w:val="000080"/>
                  <w:sz w:val="20"/>
                  <w:u w:val="single"/>
                </w:rPr>
                <w:t>C</w:t>
              </w:r>
            </w:hyperlink>
            <w:hyperlink w:anchor="i3bed870bfc65400781eb9f254f1d97a5_224">
              <w:r>
                <w:rPr>
                  <w:rStyle w:val="InternetLink"/>
                  <w:rFonts w:ascii="Trade Gothic;sans-serif" w:hAnsi="Trade Gothic;sans-serif"/>
                  <w:b/>
                  <w:color w:val="000080"/>
                  <w:sz w:val="20"/>
                  <w:u w:val="single"/>
                </w:rPr>
                <w:t>on</w:t>
              </w:r>
            </w:hyperlink>
            <w:hyperlink w:anchor="i3bed870bfc65400781eb9f254f1d97a5_224">
              <w:r>
                <w:rPr>
                  <w:rStyle w:val="InternetLink"/>
                  <w:rFonts w:ascii="Trade Gothic;sans-serif" w:hAnsi="Trade Gothic;sans-serif"/>
                  <w:b/>
                  <w:color w:val="000080"/>
                  <w:sz w:val="20"/>
                  <w:u w:val="single"/>
                </w:rPr>
                <w:t>densed Balance Sheets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ed870bfc65400781eb9f254f1d97a5_224">
              <w:r>
                <w:rPr>
                  <w:rStyle w:val="InternetLink"/>
                  <w:rFonts w:ascii="Trade Gothic;sans-serif" w:hAnsi="Trade Gothic;sans-serif"/>
                  <w:b w:val="false"/>
                  <w:strike w:val="false"/>
                  <w:dstrike w:val="false"/>
                  <w:color w:val="000000"/>
                  <w:sz w:val="20"/>
                  <w:u w:val="none"/>
                  <w:effect w:val="none"/>
                </w:rPr>
                <w:t>5</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c1419a34c5406e8f0c858bf3617e58_405">
              <w:r>
                <w:rPr>
                  <w:rStyle w:val="InternetLink"/>
                  <w:rFonts w:ascii="Trade Gothic;sans-serif" w:hAnsi="Trade Gothic;sans-serif"/>
                  <w:b/>
                  <w:color w:val="000080"/>
                  <w:sz w:val="20"/>
                  <w:u w:val="single"/>
                </w:rPr>
                <w:t>C</w:t>
              </w:r>
            </w:hyperlink>
            <w:hyperlink w:anchor="icec1419a34c5406e8f0c858bf3617e58_405">
              <w:r>
                <w:rPr>
                  <w:rStyle w:val="InternetLink"/>
                  <w:rFonts w:ascii="Trade Gothic;sans-serif" w:hAnsi="Trade Gothic;sans-serif"/>
                  <w:b/>
                  <w:color w:val="000080"/>
                  <w:sz w:val="20"/>
                  <w:u w:val="single"/>
                </w:rPr>
                <w:t>onde</w:t>
              </w:r>
            </w:hyperlink>
            <w:hyperlink w:anchor="icec1419a34c5406e8f0c858bf3617e58_405">
              <w:r>
                <w:rPr>
                  <w:rStyle w:val="InternetLink"/>
                  <w:rFonts w:ascii="Trade Gothic;sans-serif" w:hAnsi="Trade Gothic;sans-serif"/>
                  <w:b/>
                  <w:color w:val="000080"/>
                  <w:sz w:val="20"/>
                  <w:u w:val="single"/>
                </w:rPr>
                <w:t>nsed Statem</w:t>
              </w:r>
            </w:hyperlink>
            <w:hyperlink w:anchor="icec1419a34c5406e8f0c858bf3617e58_405">
              <w:r>
                <w:rPr>
                  <w:rStyle w:val="InternetLink"/>
                  <w:rFonts w:ascii="Trade Gothic;sans-serif" w:hAnsi="Trade Gothic;sans-serif"/>
                  <w:b/>
                  <w:color w:val="000080"/>
                  <w:sz w:val="20"/>
                  <w:u w:val="single"/>
                </w:rPr>
                <w:t>ents of Op</w:t>
              </w:r>
            </w:hyperlink>
            <w:hyperlink w:anchor="icec1419a34c5406e8f0c858bf3617e58_405">
              <w:r>
                <w:rPr>
                  <w:rStyle w:val="InternetLink"/>
                  <w:rFonts w:ascii="Trade Gothic;sans-serif" w:hAnsi="Trade Gothic;sans-serif"/>
                  <w:b/>
                  <w:color w:val="000080"/>
                  <w:sz w:val="20"/>
                  <w:u w:val="single"/>
                </w:rPr>
                <w:t>erations and Comprehensive Loss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c1419a34c5406e8f0c858bf3617e58_405">
              <w:r>
                <w:rPr>
                  <w:rStyle w:val="InternetLink"/>
                  <w:rFonts w:ascii="Trade Gothic;sans-serif" w:hAnsi="Trade Gothic;sans-serif"/>
                  <w:b w:val="false"/>
                  <w:strike w:val="false"/>
                  <w:dstrike w:val="false"/>
                  <w:color w:val="000000"/>
                  <w:sz w:val="20"/>
                  <w:u w:val="none"/>
                  <w:effect w:val="none"/>
                </w:rPr>
                <w:t>6</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56fc27cbb549659208b91c985c3f7d_477">
              <w:r>
                <w:rPr>
                  <w:rStyle w:val="InternetLink"/>
                  <w:rFonts w:ascii="Trade Gothic;sans-serif" w:hAnsi="Trade Gothic;sans-serif"/>
                  <w:b/>
                  <w:color w:val="000080"/>
                  <w:sz w:val="20"/>
                  <w:u w:val="single"/>
                </w:rPr>
                <w:t>C</w:t>
              </w:r>
            </w:hyperlink>
            <w:hyperlink w:anchor="i3056fc27cbb549659208b91c985c3f7d_477">
              <w:r>
                <w:rPr>
                  <w:rStyle w:val="InternetLink"/>
                  <w:rFonts w:ascii="Trade Gothic;sans-serif" w:hAnsi="Trade Gothic;sans-serif"/>
                  <w:b/>
                  <w:color w:val="000080"/>
                  <w:sz w:val="20"/>
                  <w:u w:val="single"/>
                </w:rPr>
                <w:t>onde</w:t>
              </w:r>
            </w:hyperlink>
            <w:hyperlink w:anchor="i3056fc27cbb549659208b91c985c3f7d_477">
              <w:r>
                <w:rPr>
                  <w:rStyle w:val="InternetLink"/>
                  <w:rFonts w:ascii="Trade Gothic;sans-serif" w:hAnsi="Trade Gothic;sans-serif"/>
                  <w:b/>
                  <w:color w:val="000080"/>
                  <w:sz w:val="20"/>
                  <w:u w:val="single"/>
                </w:rPr>
                <w:t>nsed Statements of Redeemable Convertible Preferred Stock and Stockholders</w:t>
              </w:r>
            </w:hyperlink>
            <w:hyperlink w:anchor="i3056fc27cbb549659208b91c985c3f7d_477">
              <w:r>
                <w:rPr>
                  <w:rStyle w:val="InternetLink"/>
                  <w:rFonts w:ascii="Trade Gothic;sans-serif" w:hAnsi="Trade Gothic;sans-serif"/>
                  <w:b/>
                  <w:color w:val="000080"/>
                  <w:sz w:val="20"/>
                  <w:u w:val="single"/>
                </w:rPr>
                <w:t>’</w:t>
              </w:r>
            </w:hyperlink>
            <w:hyperlink w:anchor="i3056fc27cbb549659208b91c985c3f7d_477">
              <w:r>
                <w:rPr>
                  <w:rStyle w:val="InternetLink"/>
                  <w:rFonts w:ascii="Trade Gothic;sans-serif" w:hAnsi="Trade Gothic;sans-serif"/>
                  <w:b/>
                  <w:color w:val="000080"/>
                  <w:sz w:val="20"/>
                  <w:u w:val="single"/>
                </w:rPr>
                <w:t xml:space="preserve"> </w:t>
              </w:r>
            </w:hyperlink>
            <w:hyperlink w:anchor="i3056fc27cbb549659208b91c985c3f7d_477">
              <w:r>
                <w:rPr>
                  <w:rStyle w:val="InternetLink"/>
                  <w:rFonts w:ascii="Trade Gothic;sans-serif" w:hAnsi="Trade Gothic;sans-serif"/>
                  <w:b/>
                  <w:color w:val="000080"/>
                  <w:sz w:val="20"/>
                  <w:u w:val="single"/>
                </w:rPr>
                <w:t>Equity (</w:t>
              </w:r>
            </w:hyperlink>
            <w:hyperlink w:anchor="i3056fc27cbb549659208b91c985c3f7d_477">
              <w:r>
                <w:rPr>
                  <w:rStyle w:val="InternetLink"/>
                  <w:rFonts w:ascii="Trade Gothic;sans-serif" w:hAnsi="Trade Gothic;sans-serif"/>
                  <w:b/>
                  <w:color w:val="000080"/>
                  <w:sz w:val="20"/>
                  <w:u w:val="single"/>
                </w:rPr>
                <w:t>Deficit</w:t>
              </w:r>
            </w:hyperlink>
            <w:r>
              <w:rPr>
                <w:rFonts w:ascii="Trade Gothic;sans-serif" w:hAnsi="Trade Gothic;sans-serif"/>
                <w:b/>
                <w:color w:val="3051F2"/>
                <w:sz w:val="20"/>
                <w:u w:val="single"/>
              </w:rPr>
              <w:t>)</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56fc27cbb549659208b91c985c3f7d_477">
              <w:r>
                <w:rPr>
                  <w:rStyle w:val="InternetLink"/>
                  <w:rFonts w:ascii="Trade Gothic;sans-serif" w:hAnsi="Trade Gothic;sans-serif"/>
                  <w:b w:val="false"/>
                  <w:strike w:val="false"/>
                  <w:dstrike w:val="false"/>
                  <w:color w:val="000000"/>
                  <w:sz w:val="20"/>
                  <w:u w:val="none"/>
                  <w:effect w:val="none"/>
                </w:rPr>
                <w:t>7</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718f8eeba6e41e08eea3b35f77e028e_270">
              <w:r>
                <w:rPr>
                  <w:rStyle w:val="InternetLink"/>
                  <w:rFonts w:ascii="Trade Gothic;sans-serif" w:hAnsi="Trade Gothic;sans-serif"/>
                  <w:b/>
                  <w:color w:val="000080"/>
                  <w:sz w:val="20"/>
                  <w:u w:val="single"/>
                </w:rPr>
                <w:t>C</w:t>
              </w:r>
            </w:hyperlink>
            <w:hyperlink w:anchor="ie718f8eeba6e41e08eea3b35f77e028e_270">
              <w:r>
                <w:rPr>
                  <w:rStyle w:val="InternetLink"/>
                  <w:rFonts w:ascii="Trade Gothic;sans-serif" w:hAnsi="Trade Gothic;sans-serif"/>
                  <w:b/>
                  <w:color w:val="000080"/>
                  <w:sz w:val="20"/>
                  <w:u w:val="single"/>
                </w:rPr>
                <w:t>ondensed Statements of Cash F</w:t>
              </w:r>
            </w:hyperlink>
            <w:hyperlink w:anchor="ie718f8eeba6e41e08eea3b35f77e028e_270">
              <w:r>
                <w:rPr>
                  <w:rStyle w:val="InternetLink"/>
                  <w:rFonts w:ascii="Trade Gothic;sans-serif" w:hAnsi="Trade Gothic;sans-serif"/>
                  <w:b/>
                  <w:color w:val="000080"/>
                  <w:sz w:val="20"/>
                  <w:u w:val="single"/>
                </w:rPr>
                <w:t>lows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18f8eeba6e41e08eea3b35f77e028e_270">
              <w:r>
                <w:rPr>
                  <w:rStyle w:val="InternetLink"/>
                  <w:rFonts w:ascii="Trade Gothic;sans-serif" w:hAnsi="Trade Gothic;sans-serif"/>
                  <w:b w:val="false"/>
                  <w:strike w:val="false"/>
                  <w:dstrike w:val="false"/>
                  <w:color w:val="000000"/>
                  <w:sz w:val="20"/>
                  <w:u w:val="none"/>
                  <w:effect w:val="none"/>
                </w:rPr>
                <w:t>9</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8ee6f6522149b9bdb13c37060d945f_75">
              <w:r>
                <w:rPr>
                  <w:rStyle w:val="InternetLink"/>
                  <w:rFonts w:ascii="Trade Gothic;sans-serif" w:hAnsi="Trade Gothic;sans-serif"/>
                  <w:b/>
                  <w:color w:val="000080"/>
                  <w:sz w:val="20"/>
                  <w:u w:val="single"/>
                </w:rPr>
                <w:t>N</w:t>
              </w:r>
            </w:hyperlink>
            <w:hyperlink w:anchor="id48ee6f6522149b9bdb13c37060d945f_75">
              <w:r>
                <w:rPr>
                  <w:rStyle w:val="InternetLink"/>
                  <w:rFonts w:ascii="Trade Gothic;sans-serif" w:hAnsi="Trade Gothic;sans-serif"/>
                  <w:b/>
                  <w:color w:val="000080"/>
                  <w:sz w:val="20"/>
                  <w:u w:val="single"/>
                </w:rPr>
                <w:t>otes to Con</w:t>
              </w:r>
            </w:hyperlink>
            <w:hyperlink w:anchor="id48ee6f6522149b9bdb13c37060d945f_75">
              <w:r>
                <w:rPr>
                  <w:rStyle w:val="InternetLink"/>
                  <w:rFonts w:ascii="Trade Gothic;sans-serif" w:hAnsi="Trade Gothic;sans-serif"/>
                  <w:b/>
                  <w:color w:val="000080"/>
                  <w:sz w:val="20"/>
                  <w:u w:val="single"/>
                </w:rPr>
                <w:t>densed Financial Statements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8ee6f6522149b9bdb13c37060d945f_75">
              <w:r>
                <w:rPr>
                  <w:rStyle w:val="InternetLink"/>
                  <w:rFonts w:ascii="Trade Gothic;sans-serif" w:hAnsi="Trade Gothic;sans-serif"/>
                  <w:b w:val="false"/>
                  <w:strike w:val="false"/>
                  <w:dstrike w:val="false"/>
                  <w:color w:val="000000"/>
                  <w:sz w:val="20"/>
                  <w:u w:val="none"/>
                  <w:effect w:val="none"/>
                </w:rPr>
                <w:t>10</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2</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cd8d1dbe640b3a98916a6636db051_1543">
              <w:r>
                <w:rPr>
                  <w:rStyle w:val="InternetLink"/>
                  <w:rFonts w:ascii="Trade Gothic;sans-serif" w:hAnsi="Trade Gothic;sans-serif"/>
                  <w:b/>
                  <w:color w:val="3051F2"/>
                  <w:sz w:val="20"/>
                  <w:u w:val="single"/>
                </w:rPr>
                <w:t>Management's Discussion and Analysis of Financial Condition and Results of Operations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7cd8d1dbe640b3a98916a6636db051_1543">
              <w:r>
                <w:rPr>
                  <w:rStyle w:val="InternetLink"/>
                  <w:rFonts w:ascii="Trade Gothic;sans-serif" w:hAnsi="Trade Gothic;sans-serif"/>
                  <w:b w:val="false"/>
                  <w:strike w:val="false"/>
                  <w:dstrike w:val="false"/>
                  <w:color w:val="000000"/>
                  <w:sz w:val="20"/>
                  <w:u w:val="none"/>
                  <w:effect w:val="none"/>
                </w:rPr>
                <w:t>20</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3</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bdbcd37c16d4b779908ba97fc01e9b0_728">
              <w:r>
                <w:rPr>
                  <w:rStyle w:val="InternetLink"/>
                  <w:rFonts w:ascii="Trade Gothic;sans-serif" w:hAnsi="Trade Gothic;sans-serif"/>
                  <w:b/>
                  <w:color w:val="3051F2"/>
                  <w:sz w:val="20"/>
                  <w:u w:val="single"/>
                </w:rPr>
                <w:t>Quantitative and Qualitative Disclosures About Market Risk</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dbcd37c16d4b779908ba97fc01e9b0_728">
              <w:r>
                <w:rPr>
                  <w:rStyle w:val="InternetLink"/>
                  <w:rFonts w:ascii="Trade Gothic;sans-serif" w:hAnsi="Trade Gothic;sans-serif"/>
                  <w:b w:val="false"/>
                  <w:strike w:val="false"/>
                  <w:dstrike w:val="false"/>
                  <w:color w:val="000000"/>
                  <w:sz w:val="20"/>
                  <w:u w:val="none"/>
                  <w:effect w:val="none"/>
                </w:rPr>
                <w:t>28</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4</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a57abdce734c118e96a1a582a4bd97_21016">
              <w:r>
                <w:rPr>
                  <w:rStyle w:val="InternetLink"/>
                  <w:rFonts w:ascii="Trade Gothic;sans-serif" w:hAnsi="Trade Gothic;sans-serif"/>
                  <w:b/>
                  <w:color w:val="000080"/>
                  <w:sz w:val="20"/>
                  <w:u w:val="single"/>
                </w:rPr>
                <w:t>C</w:t>
              </w:r>
            </w:hyperlink>
            <w:hyperlink w:anchor="i87a57abdce734c118e96a1a582a4bd97_21016">
              <w:r>
                <w:rPr>
                  <w:rStyle w:val="InternetLink"/>
                  <w:rFonts w:ascii="Trade Gothic;sans-serif" w:hAnsi="Trade Gothic;sans-serif"/>
                  <w:b/>
                  <w:color w:val="000080"/>
                  <w:sz w:val="20"/>
                  <w:u w:val="single"/>
                </w:rPr>
                <w:t>ont</w:t>
              </w:r>
            </w:hyperlink>
            <w:hyperlink w:anchor="i87a57abdce734c118e96a1a582a4bd97_21016">
              <w:r>
                <w:rPr>
                  <w:rStyle w:val="InternetLink"/>
                  <w:rFonts w:ascii="Trade Gothic;sans-serif" w:hAnsi="Trade Gothic;sans-serif"/>
                  <w:b/>
                  <w:color w:val="000080"/>
                  <w:sz w:val="20"/>
                  <w:u w:val="single"/>
                </w:rPr>
                <w:t>rols and Procedures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a57abdce734c118e96a1a582a4bd97_21016">
              <w:r>
                <w:rPr>
                  <w:rStyle w:val="InternetLink"/>
                  <w:rFonts w:ascii="Trade Gothic;sans-serif" w:hAnsi="Trade Gothic;sans-serif"/>
                  <w:b w:val="false"/>
                  <w:strike w:val="false"/>
                  <w:dstrike w:val="false"/>
                  <w:color w:val="000000"/>
                  <w:sz w:val="20"/>
                  <w:u w:val="none"/>
                  <w:effect w:val="none"/>
                </w:rPr>
                <w:t>28</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color w:val="000000"/>
                <w:sz w:val="20"/>
              </w:rPr>
            </w:pPr>
            <w:r>
              <w:rPr>
                <w:rFonts w:ascii="Trade Gothic;sans-serif" w:hAnsi="Trade Gothic;sans-serif"/>
                <w:b/>
                <w:color w:val="000000"/>
                <w:sz w:val="20"/>
              </w:rPr>
              <w:t>PART II</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1006a129164269bab0c6105e75e3ba_3335">
              <w:r>
                <w:rPr>
                  <w:rStyle w:val="InternetLink"/>
                  <w:rFonts w:ascii="Trade Gothic;sans-serif" w:hAnsi="Trade Gothic;sans-serif"/>
                  <w:b/>
                  <w:color w:val="000080"/>
                  <w:sz w:val="20"/>
                  <w:u w:val="single"/>
                </w:rPr>
                <w:t>O</w:t>
              </w:r>
            </w:hyperlink>
            <w:hyperlink w:anchor="i651006a129164269bab0c6105e75e3ba_3335">
              <w:r>
                <w:rPr>
                  <w:rStyle w:val="InternetLink"/>
                  <w:rFonts w:ascii="Trade Gothic;sans-serif" w:hAnsi="Trade Gothic;sans-serif"/>
                  <w:b/>
                  <w:color w:val="000080"/>
                  <w:sz w:val="20"/>
                  <w:u w:val="single"/>
                </w:rPr>
                <w:t>THER INFORMATION</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1006a129164269bab0c6105e75e3ba_3335">
              <w:r>
                <w:rPr>
                  <w:rStyle w:val="InternetLink"/>
                  <w:rFonts w:ascii="Trade Gothic;sans-serif" w:hAnsi="Trade Gothic;sans-serif"/>
                  <w:b w:val="false"/>
                  <w:strike w:val="false"/>
                  <w:dstrike w:val="false"/>
                  <w:color w:val="000000"/>
                  <w:sz w:val="20"/>
                  <w:u w:val="none"/>
                  <w:effect w:val="none"/>
                </w:rPr>
                <w:t>29</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625c0a9db8343f8a17f1cbb2988fba5_3548">
              <w:r>
                <w:rPr>
                  <w:rStyle w:val="InternetLink"/>
                  <w:rFonts w:ascii="Trade Gothic;sans-serif" w:hAnsi="Trade Gothic;sans-serif"/>
                  <w:b/>
                  <w:color w:val="000080"/>
                  <w:sz w:val="20"/>
                  <w:u w:val="single"/>
                </w:rPr>
                <w:t>L</w:t>
              </w:r>
            </w:hyperlink>
            <w:hyperlink w:anchor="i5625c0a9db8343f8a17f1cbb2988fba5_3548">
              <w:r>
                <w:rPr>
                  <w:rStyle w:val="InternetLink"/>
                  <w:rFonts w:ascii="Trade Gothic;sans-serif" w:hAnsi="Trade Gothic;sans-serif"/>
                  <w:b/>
                  <w:color w:val="000080"/>
                  <w:sz w:val="20"/>
                  <w:u w:val="single"/>
                </w:rPr>
                <w:t>egal Proceedi</w:t>
              </w:r>
            </w:hyperlink>
            <w:hyperlink w:anchor="i5625c0a9db8343f8a17f1cbb2988fba5_3548">
              <w:r>
                <w:rPr>
                  <w:rStyle w:val="InternetLink"/>
                  <w:rFonts w:ascii="Trade Gothic;sans-serif" w:hAnsi="Trade Gothic;sans-serif"/>
                  <w:b/>
                  <w:color w:val="000080"/>
                  <w:sz w:val="20"/>
                  <w:u w:val="single"/>
                </w:rPr>
                <w:t>ngs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25c0a9db8343f8a17f1cbb2988fba5_3548">
              <w:r>
                <w:rPr>
                  <w:rStyle w:val="InternetLink"/>
                  <w:rFonts w:ascii="Trade Gothic;sans-serif" w:hAnsi="Trade Gothic;sans-serif"/>
                  <w:b w:val="false"/>
                  <w:strike w:val="false"/>
                  <w:dstrike w:val="false"/>
                  <w:color w:val="000000"/>
                  <w:sz w:val="20"/>
                  <w:u w:val="none"/>
                  <w:effect w:val="none"/>
                </w:rPr>
                <w:t>29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1A</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8c81aa6a1f4571b3eb52fdcc924823_450014">
              <w:r>
                <w:rPr>
                  <w:rStyle w:val="InternetLink"/>
                  <w:rFonts w:ascii="Trade Gothic;sans-serif" w:hAnsi="Trade Gothic;sans-serif"/>
                  <w:b/>
                  <w:color w:val="000080"/>
                  <w:sz w:val="20"/>
                  <w:u w:val="single"/>
                </w:rPr>
                <w:t>R</w:t>
              </w:r>
            </w:hyperlink>
            <w:hyperlink w:anchor="iea8c81aa6a1f4571b3eb52fdcc924823_450014">
              <w:r>
                <w:rPr>
                  <w:rStyle w:val="InternetLink"/>
                  <w:rFonts w:ascii="Trade Gothic;sans-serif" w:hAnsi="Trade Gothic;sans-serif"/>
                  <w:b/>
                  <w:color w:val="000080"/>
                  <w:sz w:val="20"/>
                  <w:u w:val="single"/>
                </w:rPr>
                <w:t>isk F</w:t>
              </w:r>
            </w:hyperlink>
            <w:hyperlink w:anchor="iea8c81aa6a1f4571b3eb52fdcc924823_450014">
              <w:r>
                <w:rPr>
                  <w:rStyle w:val="InternetLink"/>
                  <w:rFonts w:ascii="Trade Gothic;sans-serif" w:hAnsi="Trade Gothic;sans-serif"/>
                  <w:b/>
                  <w:color w:val="000080"/>
                  <w:sz w:val="20"/>
                  <w:u w:val="single"/>
                </w:rPr>
                <w:t>actors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8c81aa6a1f4571b3eb52fdcc924823_450014">
              <w:r>
                <w:rPr>
                  <w:rStyle w:val="InternetLink"/>
                  <w:rFonts w:ascii="Trade Gothic;sans-serif" w:hAnsi="Trade Gothic;sans-serif"/>
                  <w:b w:val="false"/>
                  <w:strike w:val="false"/>
                  <w:dstrike w:val="false"/>
                  <w:color w:val="000000"/>
                  <w:sz w:val="20"/>
                  <w:u w:val="none"/>
                  <w:effect w:val="none"/>
                </w:rPr>
                <w:t>29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2</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38561dfa0d348a9aea04d9c754ec006_2112">
              <w:r>
                <w:rPr>
                  <w:rStyle w:val="InternetLink"/>
                  <w:rFonts w:ascii="Trade Gothic;sans-serif" w:hAnsi="Trade Gothic;sans-serif"/>
                  <w:b/>
                  <w:color w:val="000080"/>
                  <w:sz w:val="20"/>
                  <w:u w:val="single"/>
                </w:rPr>
                <w:t>U</w:t>
              </w:r>
            </w:hyperlink>
            <w:hyperlink w:anchor="i938561dfa0d348a9aea04d9c754ec006_2112">
              <w:r>
                <w:rPr>
                  <w:rStyle w:val="InternetLink"/>
                  <w:rFonts w:ascii="Trade Gothic;sans-serif" w:hAnsi="Trade Gothic;sans-serif"/>
                  <w:b/>
                  <w:color w:val="000080"/>
                  <w:sz w:val="20"/>
                  <w:u w:val="single"/>
                </w:rPr>
                <w:t>nregistered Sales of Equity Securities and Use of Proc</w:t>
              </w:r>
            </w:hyperlink>
            <w:hyperlink w:anchor="i938561dfa0d348a9aea04d9c754ec006_2112">
              <w:r>
                <w:rPr>
                  <w:rStyle w:val="InternetLink"/>
                  <w:rFonts w:ascii="Trade Gothic;sans-serif" w:hAnsi="Trade Gothic;sans-serif"/>
                  <w:b/>
                  <w:color w:val="000080"/>
                  <w:sz w:val="20"/>
                  <w:u w:val="single"/>
                </w:rPr>
                <w:t>eeds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8561dfa0d348a9aea04d9c754ec006_2112">
              <w:r>
                <w:rPr>
                  <w:rStyle w:val="InternetLink"/>
                  <w:rFonts w:ascii="Trade Gothic;sans-serif" w:hAnsi="Trade Gothic;sans-serif"/>
                  <w:b w:val="false"/>
                  <w:strike w:val="false"/>
                  <w:dstrike w:val="false"/>
                  <w:color w:val="000000"/>
                  <w:sz w:val="20"/>
                  <w:u w:val="none"/>
                  <w:effect w:val="none"/>
                </w:rPr>
                <w:t>89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3</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e1a232b87964080a9bc2a7c46ce1649_380">
              <w:r>
                <w:rPr>
                  <w:rStyle w:val="InternetLink"/>
                  <w:rFonts w:ascii="Trade Gothic;sans-serif" w:hAnsi="Trade Gothic;sans-serif"/>
                  <w:b/>
                  <w:color w:val="000080"/>
                  <w:sz w:val="20"/>
                  <w:u w:val="single"/>
                </w:rPr>
                <w:t>D</w:t>
              </w:r>
            </w:hyperlink>
            <w:hyperlink w:anchor="i5e1a232b87964080a9bc2a7c46ce1649_380">
              <w:r>
                <w:rPr>
                  <w:rStyle w:val="InternetLink"/>
                  <w:rFonts w:ascii="Trade Gothic;sans-serif" w:hAnsi="Trade Gothic;sans-serif"/>
                  <w:b/>
                  <w:color w:val="000080"/>
                  <w:sz w:val="20"/>
                  <w:u w:val="single"/>
                </w:rPr>
                <w:t>efaults Upon Senio</w:t>
              </w:r>
            </w:hyperlink>
            <w:hyperlink w:anchor="i5e1a232b87964080a9bc2a7c46ce1649_380">
              <w:r>
                <w:rPr>
                  <w:rStyle w:val="InternetLink"/>
                  <w:rFonts w:ascii="Trade Gothic;sans-serif" w:hAnsi="Trade Gothic;sans-serif"/>
                  <w:b/>
                  <w:color w:val="000080"/>
                  <w:sz w:val="20"/>
                  <w:u w:val="single"/>
                </w:rPr>
                <w:t>r Securities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1a232b87964080a9bc2a7c46ce1649_380">
              <w:r>
                <w:rPr>
                  <w:rStyle w:val="InternetLink"/>
                  <w:rFonts w:ascii="Trade Gothic;sans-serif" w:hAnsi="Trade Gothic;sans-serif"/>
                  <w:b w:val="false"/>
                  <w:strike w:val="false"/>
                  <w:dstrike w:val="false"/>
                  <w:color w:val="000000"/>
                  <w:sz w:val="20"/>
                  <w:u w:val="none"/>
                  <w:effect w:val="none"/>
                </w:rPr>
                <w:t>89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4</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86abf50b0fc47868f915b324bb991d1_258">
              <w:r>
                <w:rPr>
                  <w:rStyle w:val="InternetLink"/>
                  <w:rFonts w:ascii="Trade Gothic;sans-serif" w:hAnsi="Trade Gothic;sans-serif"/>
                  <w:b/>
                  <w:color w:val="000080"/>
                  <w:sz w:val="20"/>
                  <w:u w:val="single"/>
                </w:rPr>
                <w:t>M</w:t>
              </w:r>
            </w:hyperlink>
            <w:hyperlink w:anchor="ie86abf50b0fc47868f915b324bb991d1_258">
              <w:r>
                <w:rPr>
                  <w:rStyle w:val="InternetLink"/>
                  <w:rFonts w:ascii="Trade Gothic;sans-serif" w:hAnsi="Trade Gothic;sans-serif"/>
                  <w:b/>
                  <w:color w:val="000080"/>
                  <w:sz w:val="20"/>
                  <w:u w:val="single"/>
                </w:rPr>
                <w:t>ine Safe</w:t>
              </w:r>
            </w:hyperlink>
            <w:hyperlink w:anchor="ie86abf50b0fc47868f915b324bb991d1_258">
              <w:r>
                <w:rPr>
                  <w:rStyle w:val="InternetLink"/>
                  <w:rFonts w:ascii="Trade Gothic;sans-serif" w:hAnsi="Trade Gothic;sans-serif"/>
                  <w:b/>
                  <w:color w:val="000080"/>
                  <w:sz w:val="20"/>
                  <w:u w:val="single"/>
                </w:rPr>
                <w:t>ty Disclosures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6abf50b0fc47868f915b324bb991d1_258">
              <w:r>
                <w:rPr>
                  <w:rStyle w:val="InternetLink"/>
                  <w:rFonts w:ascii="Trade Gothic;sans-serif" w:hAnsi="Trade Gothic;sans-serif"/>
                  <w:b w:val="false"/>
                  <w:strike w:val="false"/>
                  <w:dstrike w:val="false"/>
                  <w:color w:val="000000"/>
                  <w:sz w:val="20"/>
                  <w:u w:val="none"/>
                  <w:effect w:val="none"/>
                </w:rPr>
                <w:t>89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5</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41cfeb18984c78873bc36d795eedd1_155">
              <w:r>
                <w:rPr>
                  <w:rStyle w:val="InternetLink"/>
                  <w:rFonts w:ascii="Trade Gothic;sans-serif" w:hAnsi="Trade Gothic;sans-serif"/>
                  <w:b/>
                  <w:color w:val="000080"/>
                  <w:sz w:val="20"/>
                  <w:u w:val="single"/>
                </w:rPr>
                <w:t>O</w:t>
              </w:r>
            </w:hyperlink>
            <w:hyperlink w:anchor="i5941cfeb18984c78873bc36d795eedd1_155">
              <w:r>
                <w:rPr>
                  <w:rStyle w:val="InternetLink"/>
                  <w:rFonts w:ascii="Trade Gothic;sans-serif" w:hAnsi="Trade Gothic;sans-serif"/>
                  <w:b/>
                  <w:color w:val="000080"/>
                  <w:sz w:val="20"/>
                  <w:u w:val="single"/>
                </w:rPr>
                <w:t>ther Information</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41cfeb18984c78873bc36d795eedd1_155">
              <w:r>
                <w:rPr>
                  <w:rStyle w:val="InternetLink"/>
                  <w:rFonts w:ascii="Trade Gothic;sans-serif" w:hAnsi="Trade Gothic;sans-serif"/>
                  <w:b w:val="false"/>
                  <w:strike w:val="false"/>
                  <w:dstrike w:val="false"/>
                  <w:color w:val="000000"/>
                  <w:sz w:val="20"/>
                  <w:u w:val="none"/>
                  <w:effect w:val="none"/>
                </w:rPr>
                <w:t>89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20"/>
              </w:rPr>
            </w:pPr>
            <w:r>
              <w:rPr>
                <w:rFonts w:ascii="Trade Gothic;sans-serif" w:hAnsi="Trade Gothic;sans-serif"/>
                <w:b w:val="false"/>
                <w:color w:val="000000"/>
                <w:sz w:val="20"/>
              </w:rPr>
              <w:t>Item 6</w:t>
            </w:r>
          </w:p>
        </w:tc>
        <w:tc>
          <w:tcPr>
            <w:tcW w:w="8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765c2f72ea4c66a769a61566e758a5_1005">
              <w:r>
                <w:rPr>
                  <w:rStyle w:val="InternetLink"/>
                  <w:rFonts w:ascii="Trade Gothic;sans-serif" w:hAnsi="Trade Gothic;sans-serif"/>
                  <w:b/>
                  <w:color w:val="000080"/>
                  <w:sz w:val="20"/>
                  <w:u w:val="single"/>
                </w:rPr>
                <w:t>E</w:t>
              </w:r>
            </w:hyperlink>
            <w:hyperlink w:anchor="ib2765c2f72ea4c66a769a61566e758a5_1005">
              <w:r>
                <w:rPr>
                  <w:rStyle w:val="InternetLink"/>
                  <w:rFonts w:ascii="Trade Gothic;sans-serif" w:hAnsi="Trade Gothic;sans-serif"/>
                  <w:b/>
                  <w:color w:val="000080"/>
                  <w:sz w:val="20"/>
                  <w:u w:val="single"/>
                </w:rPr>
                <w:t>xhibits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765c2f72ea4c66a769a61566e758a5_1005">
              <w:r>
                <w:rPr>
                  <w:rStyle w:val="InternetLink"/>
                  <w:rFonts w:ascii="Trade Gothic;sans-serif" w:hAnsi="Trade Gothic;sans-serif"/>
                  <w:b w:val="false"/>
                  <w:strike w:val="false"/>
                  <w:dstrike w:val="false"/>
                  <w:color w:val="000000"/>
                  <w:sz w:val="20"/>
                  <w:u w:val="none"/>
                  <w:effect w:val="none"/>
                </w:rPr>
                <w:t>90</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acdd2ab04e4a25a93f3133e8abda76_2555">
              <w:r>
                <w:rPr>
                  <w:rStyle w:val="InternetLink"/>
                  <w:rFonts w:ascii="Trade Gothic;sans-serif" w:hAnsi="Trade Gothic;sans-serif"/>
                  <w:b/>
                  <w:color w:val="000080"/>
                  <w:sz w:val="20"/>
                  <w:u w:val="single"/>
                </w:rPr>
                <w:t>S</w:t>
              </w:r>
            </w:hyperlink>
            <w:hyperlink w:anchor="i8bacdd2ab04e4a25a93f3133e8abda76_2555">
              <w:r>
                <w:rPr>
                  <w:rStyle w:val="InternetLink"/>
                  <w:rFonts w:ascii="Trade Gothic;sans-serif" w:hAnsi="Trade Gothic;sans-serif"/>
                  <w:b/>
                  <w:color w:val="000080"/>
                  <w:sz w:val="20"/>
                  <w:u w:val="single"/>
                </w:rPr>
                <w:t>ignatures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acdd2ab04e4a25a93f3133e8abda76_2555">
              <w:r>
                <w:rPr>
                  <w:rStyle w:val="InternetLink"/>
                  <w:rFonts w:ascii="Trade Gothic;sans-serif" w:hAnsi="Trade Gothic;sans-serif"/>
                  <w:b w:val="false"/>
                  <w:strike w:val="false"/>
                  <w:dstrike w:val="false"/>
                  <w:color w:val="000000"/>
                  <w:sz w:val="20"/>
                  <w:u w:val="none"/>
                  <w:effect w:val="non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0335"/>
                <wp:effectExtent l="0" t="0" r="0" b="0"/>
                <wp:wrapNone/>
                <wp:docPr id="2" name="Frame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SPECIAL NOTE REGARDING FORWARD-LOOKING STATEMENTS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All statements other than statements of historical fact contained in this Quarterly Report, including statements regarding our plans, objectives, goals, strategies, future events, future revenues or performance, financing needs, plans, or intentions relating to product candidates and markets and business trends are forward-looking statements. In some cases, you can identify forward-looking statements because they contain words such as “may,” “will,” “should,” “expect,” “plan,” “anticipate,” “could,” “intend,” “target,” “project,” “contemplate,” “believe,” “estimate,” “predict,” “potential”, “aim” or “continue” or the negative of these words or other similar terms or expressions that concern our expectations, strategy, plans or intentions.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contained in this Quarterly Report include, but are not limited to, statements about: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likelihood of our clinical trials demonstrating safety and efficacy of our product candidates, and other positive results;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progress and results of our ongoing and planned clinical trials for our current product candidates, including statements regarding enrollment, the timing of completion of trials, and the reporting of data from our current trials, as well as the timing, progress and results of our current and future preclinical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the clinical development of our product candidates, including the size, number and areas to be evaluated;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estimates regarding the total addressable market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commercializing our product candidates, if approved, including the geographic areas of focus and sales strategy;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competitive position and the success of competing products that are or may become available;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rate and degree of market acceptance by physicians, surgeons and patients, including the perceived clinical utility of our current product candidates and other product candidates we may develop;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need to hire additional personnel and our ability to attract and retain such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scope and likelihood of regulatory filings and approvals for our current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obtain and maintain regulatory approval of our product candidates, including our lead product candidate, the Bimatoprost Drug Pad-IOL System (the BIM-IOL System);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expectations regarding third-party coverage, reimbursement policies and pricing regulations applicable to our product candidates,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plans relating to the further development and manufacturing of our product candidates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impact of existing laws and regulations and regulatory developments in the United States and other jurisdictions;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maintain compliance with our license agreement with the Regents of the University of Colorado, including efforts to meet the development and commercial milestones thereunder, and otherwise maintain our intellectual property rights thereunder;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intellectual property position, including the scope of protection we are able to establish and maintain for intellectual property rights covering our current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continued reliance on third parties, including clinical sites, to conduct additional clinical trials of our product candidates, and for the manufacture of our product candidates for clinical trials and commercialization of our product candidates,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accuracy of our estimates regarding expenses, future revenue, capital requirements and needs for additional financing;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0335"/>
                <wp:effectExtent l="0" t="0" r="0" b="0"/>
                <wp:wrapNone/>
                <wp:docPr id="3" name="Frame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period over which we estimate our existing cash and cash equivalents and short-term investments will be sufficient to fund our future operating expenses and capital expenditure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expectations regarding the period during which we will remain an emerging growth company and smaller reporting company under the Jumpstart Our Business Startups Acts of 2012, as amended (the JOBS Act);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remediating the material weakness in our internal control over financial reporting.</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We caution you that the foregoing list may not contain all of the forward-looking statements made in this Quarterly Report.</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You should not rely upon forward-looking statements as predictions of future events. We have based the forward-looking statements contained in this Quarterly Report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Neither we nor any other person assumes responsibility for the accuracy and completeness of any of these forward-looking statements. Moreover,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Annual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0335"/>
                <wp:effectExtent l="0" t="0" r="0" b="0"/>
                <wp:wrapNone/>
                <wp:docPr id="4" name="Frame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center"/>
        <w:rPr>
          <w:rFonts w:ascii="Trade Gothic;sans-serif" w:hAnsi="Trade Gothic;sans-serif"/>
          <w:b/>
          <w:color w:val="000000"/>
          <w:sz w:val="20"/>
        </w:rPr>
      </w:pPr>
      <w:bookmarkStart w:id="0" w:name="i7eb84bac78fd4053b6dbf77091167dbb_142"/>
      <w:bookmarkEnd w:id="0"/>
      <w:r>
        <w:rPr>
          <w:rFonts w:ascii="Trade Gothic;sans-serif" w:hAnsi="Trade Gothic;sans-serif"/>
          <w:b/>
          <w:color w:val="000000"/>
          <w:sz w:val="20"/>
        </w:rPr>
        <w:t>PART I - FINANCIAL INFORMATION</w:t>
      </w:r>
    </w:p>
    <w:p>
      <w:pPr>
        <w:pStyle w:val="TextBody"/>
        <w:bidi w:val="0"/>
        <w:spacing w:lineRule="auto" w:line="288" w:before="0" w:after="240"/>
        <w:jc w:val="left"/>
        <w:rPr>
          <w:rFonts w:ascii="Trade Gothic;sans-serif" w:hAnsi="Trade Gothic;sans-serif"/>
          <w:b/>
          <w:color w:val="000000"/>
          <w:sz w:val="20"/>
        </w:rPr>
      </w:pPr>
      <w:bookmarkStart w:id="1" w:name="i7eb84bac78fd4053b6dbf77091167dbb_143"/>
      <w:bookmarkEnd w:id="1"/>
      <w:r>
        <w:rPr>
          <w:rFonts w:ascii="Trade Gothic;sans-serif" w:hAnsi="Trade Gothic;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bookmarkStart w:id="2" w:name="i3bed870bfc65400781eb9f254f1d97a5_224"/>
      <w:bookmarkEnd w:id="2"/>
      <w:r>
        <w:rPr>
          <w:rFonts w:ascii="Trade Gothic;sans-serif" w:hAnsi="Trade Gothic;sans-serif"/>
          <w:b/>
          <w:color w:val="000000"/>
          <w:sz w:val="20"/>
        </w:rPr>
        <w:t>CONDENSED BALANCE SHEETS</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 except share and per share data)</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826"/>
        <w:gridCol w:w="2183"/>
        <w:gridCol w:w="2115"/>
        <w:gridCol w:w="230"/>
        <w:gridCol w:w="964"/>
        <w:gridCol w:w="111"/>
        <w:gridCol w:w="109"/>
        <w:gridCol w:w="109"/>
        <w:gridCol w:w="109"/>
        <w:gridCol w:w="246"/>
        <w:gridCol w:w="1032"/>
        <w:gridCol w:w="171"/>
      </w:tblGrid>
      <w:tr>
        <w:trPr/>
        <w:tc>
          <w:tcPr>
            <w:tcW w:w="282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December 31, 2025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Assets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Current assets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Cash and cash equivalents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223,143 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96,358 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Short-term investments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11,043 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11,078 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Other receivables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678 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431 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Prepaid expenses and other current assets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1,597 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901 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current assets</w:t>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236,461 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108,768 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Other non-current assets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759 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492 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Property and equipment, net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4,785 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2,339 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Deferred offering costs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2,715 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Right-of-use asset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1,428 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1,552 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assets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243,433 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115,866 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8"/>
              </w:rPr>
            </w:pPr>
            <w:r>
              <w:rPr>
                <w:rFonts w:ascii="Trade Gothic;sans-serif" w:hAnsi="Trade Gothic;sans-serif"/>
                <w:b/>
                <w:color w:val="000000"/>
                <w:sz w:val="18"/>
              </w:rPr>
              <w:t>Liabilities, redeemable convertible preferred stock and stockholders' equity (deficit)</w:t>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Current liabilities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Accounts payable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4,155 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2,696 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Payroll-related accruals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1,723 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2,182 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Other current liabilities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3,559 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3,706 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current liabilities</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9,437 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8,584 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Lease liability, non-current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1,632 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1,582 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liabilities</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11,069 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10,166 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Commitments and contingencies (Note 7)</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ade Gothic;sans-serif" w:hAnsi="Trade Gothic;sans-serif"/>
                <w:b w:val="false"/>
                <w:color w:val="000000"/>
                <w:sz w:val="18"/>
              </w:rPr>
            </w:pPr>
            <w:r>
              <w:rPr>
                <w:rFonts w:ascii="Trade Gothic;sans-serif" w:hAnsi="Trade Gothic;sans-serif"/>
                <w:b w:val="false"/>
                <w:color w:val="000000"/>
                <w:sz w:val="18"/>
              </w:rPr>
              <w:t>Redeemable convertible preferred stock, $.00001 par value; 0 shares authorized, issued and outstanding as of June 30, 2026; 116,618,581 shares authorized, 20,341,968 shares issued and outstanding as of December 31, 2025 (aggregate liquidation preference of $0 and $200,878 as of June 30, 2026 and December 31, 2025, respectively)</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204,537 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Stockholders' equity (deficit)</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ade Gothic;sans-serif" w:hAnsi="Trade Gothic;sans-serif"/>
                <w:b w:val="false"/>
                <w:color w:val="000000"/>
                <w:sz w:val="18"/>
              </w:rPr>
            </w:pPr>
            <w:r>
              <w:rPr>
                <w:rFonts w:ascii="Trade Gothic;sans-serif" w:hAnsi="Trade Gothic;sans-serif"/>
                <w:b w:val="false"/>
                <w:color w:val="000000"/>
                <w:sz w:val="18"/>
              </w:rPr>
              <w:t>Preferred stock, $.00001 par value; 200,000,000 shares authorized, 0 shares issued and outstanding as of June 30, 2026; 0 shares authorized, issued, and outstanding as of December 31, 2025</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rade Gothic;sans-serif" w:hAnsi="Trade Gothic;sans-serif"/>
                <w:b w:val="false"/>
                <w:color w:val="000000"/>
                <w:sz w:val="18"/>
              </w:rPr>
            </w:pPr>
            <w:r>
              <w:rPr>
                <w:rFonts w:ascii="Trade Gothic;sans-serif" w:hAnsi="Trade Gothic;sans-serif"/>
                <w:b w:val="false"/>
                <w:color w:val="000000"/>
                <w:sz w:val="18"/>
              </w:rPr>
              <w:t>Common stock, $.00001 par value; 1,000,000,000 shares authorized, 33,446,315 shares issued and outstanding as of June 30, 2026; 154,383,336 shares authorized; 2,203,620 shares issued and outstanding as of December 31, 2025</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Common stock additional paid-in capital</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370,776 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5,893 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Accumulated deficit</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(138,412)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(104,730)</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stockholders' equity (deficit)</w:t>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232,364 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(98,837)</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5"/>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Total liabilities, redeemable convertible preferred stock and stockholders' equity (deficit)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243,433 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115,866 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0335"/>
                <wp:effectExtent l="0" t="0" r="0" b="0"/>
                <wp:wrapNone/>
                <wp:docPr id="5" name="Frame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bookmarkStart w:id="3" w:name="icec1419a34c5406e8f0c858bf3617e58_405"/>
      <w:bookmarkEnd w:id="3"/>
      <w:r>
        <w:rPr>
          <w:rFonts w:ascii="Trade Gothic;sans-serif" w:hAnsi="Trade Gothic;sans-serif"/>
          <w:b/>
          <w:color w:val="000000"/>
          <w:sz w:val="20"/>
        </w:rPr>
        <w:t>CONDENSED STATEMENTS OF OPERATIONS AND COMPREHENSIVE LOSS</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 except share and per share data)</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1654"/>
        <w:gridCol w:w="1160"/>
        <w:gridCol w:w="1166"/>
        <w:gridCol w:w="263"/>
        <w:gridCol w:w="983"/>
        <w:gridCol w:w="111"/>
        <w:gridCol w:w="111"/>
        <w:gridCol w:w="111"/>
        <w:gridCol w:w="111"/>
        <w:gridCol w:w="268"/>
        <w:gridCol w:w="858"/>
        <w:gridCol w:w="111"/>
        <w:gridCol w:w="109"/>
        <w:gridCol w:w="109"/>
        <w:gridCol w:w="109"/>
        <w:gridCol w:w="263"/>
        <w:gridCol w:w="983"/>
        <w:gridCol w:w="109"/>
        <w:gridCol w:w="109"/>
        <w:gridCol w:w="109"/>
        <w:gridCol w:w="109"/>
        <w:gridCol w:w="226"/>
        <w:gridCol w:w="906"/>
        <w:gridCol w:w="157"/>
      </w:tblGrid>
      <w:tr>
        <w:trPr/>
        <w:tc>
          <w:tcPr>
            <w:tcW w:w="16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rade Gothic;sans-serif" w:hAnsi="Trade Gothic;sans-serif"/>
                <w:b/>
                <w:color w:val="000000"/>
                <w:sz w:val="16"/>
              </w:rPr>
            </w:pPr>
            <w:r>
              <w:rPr>
                <w:rFonts w:ascii="Trade Gothic;sans-serif" w:hAnsi="Trade Gothic;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Six Months Ended June 30,</w:t>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expenses</w:t>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10,942 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7,333 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13,385 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21,967 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9,297 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16,720 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(21,967)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(9,297)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(37,376)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(16,720)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income (expense)</w:t>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Interest income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redeemable convertible preferred stock tranche liability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other income (expense)</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Loss before income tax</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(19,864)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(8,675)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(17,498)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provision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(19,864)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(8,675)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(17,498)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per share</w:t>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common stock outstanding,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33,439,543 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2,277,521 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26,721,021 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2,253,711 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(0.59)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(7.76)</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0335"/>
                <wp:effectExtent l="0" t="0" r="0" b="0"/>
                <wp:wrapNone/>
                <wp:docPr id="6" name="Frame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bookmarkStart w:id="4" w:name="i3056fc27cbb549659208b91c985c3f7d_477"/>
      <w:bookmarkEnd w:id="4"/>
      <w:r>
        <w:rPr>
          <w:rFonts w:ascii="Trade Gothic;sans-serif" w:hAnsi="Trade Gothic;sans-serif"/>
          <w:b/>
          <w:color w:val="000000"/>
          <w:sz w:val="20"/>
        </w:rPr>
        <w:t>CONDENSED STATEMENTS OF REDEEMABLE CONVERTIBLE PREFERRED STOCK AND STOCKHOLDERS’ EQUITY (DEFICIT)</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 except share data)</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3286" w:type="dxa"/>
        <w:jc w:val="left"/>
        <w:tblInd w:w="0" w:type="dxa"/>
        <w:tblLayout w:type="fixed"/>
        <w:tblCellMar>
          <w:top w:w="28" w:type="dxa"/>
          <w:left w:w="28" w:type="dxa"/>
          <w:bottom w:w="28" w:type="dxa"/>
          <w:right w:w="28" w:type="dxa"/>
        </w:tblCellMar>
      </w:tblPr>
      <w:tblGrid>
        <w:gridCol w:w="941"/>
        <w:gridCol w:w="339"/>
        <w:gridCol w:w="341"/>
        <w:gridCol w:w="109"/>
        <w:gridCol w:w="109"/>
        <w:gridCol w:w="109"/>
        <w:gridCol w:w="630"/>
        <w:gridCol w:w="631"/>
        <w:gridCol w:w="246"/>
        <w:gridCol w:w="109"/>
        <w:gridCol w:w="109"/>
        <w:gridCol w:w="109"/>
        <w:gridCol w:w="226"/>
        <w:gridCol w:w="946"/>
        <w:gridCol w:w="109"/>
        <w:gridCol w:w="109"/>
        <w:gridCol w:w="109"/>
        <w:gridCol w:w="109"/>
        <w:gridCol w:w="109"/>
        <w:gridCol w:w="109"/>
        <w:gridCol w:w="109"/>
        <w:gridCol w:w="623"/>
        <w:gridCol w:w="623"/>
        <w:gridCol w:w="246"/>
        <w:gridCol w:w="109"/>
        <w:gridCol w:w="109"/>
        <w:gridCol w:w="109"/>
        <w:gridCol w:w="256"/>
        <w:gridCol w:w="460"/>
        <w:gridCol w:w="125"/>
        <w:gridCol w:w="109"/>
        <w:gridCol w:w="109"/>
        <w:gridCol w:w="109"/>
        <w:gridCol w:w="226"/>
        <w:gridCol w:w="946"/>
        <w:gridCol w:w="109"/>
        <w:gridCol w:w="109"/>
        <w:gridCol w:w="109"/>
        <w:gridCol w:w="109"/>
        <w:gridCol w:w="226"/>
        <w:gridCol w:w="986"/>
        <w:gridCol w:w="109"/>
        <w:gridCol w:w="109"/>
        <w:gridCol w:w="109"/>
        <w:gridCol w:w="109"/>
        <w:gridCol w:w="226"/>
        <w:gridCol w:w="94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8"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and Six Months Ended June 30, 2026</w:t>
            </w:r>
          </w:p>
        </w:tc>
      </w:tr>
      <w:tr>
        <w:trPr/>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2,203,620 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(104,730)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(98,837)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105,717 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Conversion of redeemable convertible preferred stock into common stock on the initial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Issuance of common stock in initial public offering, net of underwriting discounts and commissions and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10,781,250 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156,500 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33,432,555 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368,660 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(118,548)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250,112 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13,760 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33,446,315 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370,776 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(138,412)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232,364 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0335"/>
                <wp:effectExtent l="0" t="0" r="0" b="0"/>
                <wp:wrapNone/>
                <wp:docPr id="7" name="Frame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CONDENSED STATEMENTS OF REDEEMABLE CONVERTIBLE PREFERRED STOCK AND STOCKHOLDERS’ EQUITY (DEFICIT)</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 except share data)</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2846" w:type="dxa"/>
        <w:jc w:val="left"/>
        <w:tblInd w:w="0" w:type="dxa"/>
        <w:tblLayout w:type="fixed"/>
        <w:tblCellMar>
          <w:top w:w="28" w:type="dxa"/>
          <w:left w:w="28" w:type="dxa"/>
          <w:bottom w:w="28" w:type="dxa"/>
          <w:right w:w="28" w:type="dxa"/>
        </w:tblCellMar>
      </w:tblPr>
      <w:tblGrid>
        <w:gridCol w:w="941"/>
        <w:gridCol w:w="339"/>
        <w:gridCol w:w="341"/>
        <w:gridCol w:w="109"/>
        <w:gridCol w:w="109"/>
        <w:gridCol w:w="109"/>
        <w:gridCol w:w="623"/>
        <w:gridCol w:w="623"/>
        <w:gridCol w:w="246"/>
        <w:gridCol w:w="109"/>
        <w:gridCol w:w="109"/>
        <w:gridCol w:w="109"/>
        <w:gridCol w:w="226"/>
        <w:gridCol w:w="946"/>
        <w:gridCol w:w="109"/>
        <w:gridCol w:w="109"/>
        <w:gridCol w:w="109"/>
        <w:gridCol w:w="109"/>
        <w:gridCol w:w="109"/>
        <w:gridCol w:w="109"/>
        <w:gridCol w:w="109"/>
        <w:gridCol w:w="563"/>
        <w:gridCol w:w="563"/>
        <w:gridCol w:w="246"/>
        <w:gridCol w:w="109"/>
        <w:gridCol w:w="109"/>
        <w:gridCol w:w="109"/>
        <w:gridCol w:w="256"/>
        <w:gridCol w:w="460"/>
        <w:gridCol w:w="125"/>
        <w:gridCol w:w="109"/>
        <w:gridCol w:w="109"/>
        <w:gridCol w:w="109"/>
        <w:gridCol w:w="234"/>
        <w:gridCol w:w="733"/>
        <w:gridCol w:w="114"/>
        <w:gridCol w:w="109"/>
        <w:gridCol w:w="109"/>
        <w:gridCol w:w="109"/>
        <w:gridCol w:w="253"/>
        <w:gridCol w:w="944"/>
        <w:gridCol w:w="124"/>
        <w:gridCol w:w="109"/>
        <w:gridCol w:w="109"/>
        <w:gridCol w:w="109"/>
        <w:gridCol w:w="226"/>
        <w:gridCol w:w="841"/>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8"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and Six Months Ended June 30, 2025</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9,608,914 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72,546 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2,196,423 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(64,861)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(60,474)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86,579 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Issuance of Series C-2 redeemable convertible preferred stock, net of issuance costs and tranche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4,933,589 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(8,823)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14,542,503 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127,485 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2,283,002 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4,832 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(73,684)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(68,852)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10,082 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(174,432)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C-2 redeemable convertible preferred stock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Issuance of Series D redeemable convertible preferred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5,799,465 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(8,675)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2,118,652 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(82,359)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(78,379)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0335"/>
                <wp:effectExtent l="0" t="0" r="0" b="0"/>
                <wp:wrapNone/>
                <wp:docPr id="8" name="Frame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center"/>
        <w:rPr>
          <w:rFonts w:ascii="Trade Gothic;sans-serif" w:hAnsi="Trade Gothic;sans-serif"/>
          <w:b/>
          <w:color w:val="000000"/>
          <w:sz w:val="20"/>
        </w:rPr>
      </w:pPr>
      <w:r>
        <w:rPr>
          <w:rFonts w:ascii="Trade Gothic;sans-serif" w:hAnsi="Trade Gothic;sans-serif"/>
          <w:b/>
          <w:color w:val="000000"/>
          <w:sz w:val="20"/>
        </w:rPr>
        <w:t>SPYGLASS PHARMA, INC.</w:t>
      </w:r>
    </w:p>
    <w:p>
      <w:pPr>
        <w:pStyle w:val="TextBody"/>
        <w:bidi w:val="0"/>
        <w:spacing w:lineRule="auto" w:line="288" w:before="0" w:after="0"/>
        <w:jc w:val="center"/>
        <w:rPr>
          <w:rFonts w:ascii="Trade Gothic;sans-serif" w:hAnsi="Trade Gothic;sans-serif"/>
          <w:b/>
          <w:color w:val="000000"/>
          <w:sz w:val="20"/>
        </w:rPr>
      </w:pPr>
      <w:bookmarkStart w:id="5" w:name="ie718f8eeba6e41e08eea3b35f77e028e_270"/>
      <w:bookmarkEnd w:id="5"/>
      <w:r>
        <w:rPr>
          <w:rFonts w:ascii="Trade Gothic;sans-serif" w:hAnsi="Trade Gothic;sans-serif"/>
          <w:b/>
          <w:color w:val="000000"/>
          <w:sz w:val="20"/>
        </w:rPr>
        <w:t>CONDENSED STATEMENTS OF CASH FLOWS</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(in thousands)</w:t>
      </w:r>
    </w:p>
    <w:p>
      <w:pPr>
        <w:pStyle w:val="TextBody"/>
        <w:bidi w:val="0"/>
        <w:spacing w:lineRule="auto" w:line="288" w:before="0" w:after="240"/>
        <w:jc w:val="center"/>
        <w:rPr>
          <w:rFonts w:ascii="Trade Gothic;sans-serif" w:hAnsi="Trade Gothic;sans-serif"/>
          <w:b/>
          <w:color w:val="000000"/>
          <w:sz w:val="19"/>
        </w:rPr>
      </w:pPr>
      <w:r>
        <w:rPr>
          <w:rFonts w:ascii="Trade Gothic;sans-serif" w:hAnsi="Trade Gothic;sans-serif"/>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812"/>
        <w:gridCol w:w="2460"/>
        <w:gridCol w:w="2477"/>
        <w:gridCol w:w="196"/>
        <w:gridCol w:w="736"/>
        <w:gridCol w:w="109"/>
        <w:gridCol w:w="109"/>
        <w:gridCol w:w="109"/>
        <w:gridCol w:w="109"/>
        <w:gridCol w:w="196"/>
        <w:gridCol w:w="736"/>
        <w:gridCol w:w="156"/>
      </w:tblGrid>
      <w:tr>
        <w:trPr/>
        <w:tc>
          <w:tcPr>
            <w:tcW w:w="281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5"/>
              </w:rPr>
            </w:pPr>
            <w:r>
              <w:rPr>
                <w:rFonts w:ascii="Trade Gothic;sans-serif" w:hAnsi="Trade Gothic;sans-serif"/>
                <w:b/>
                <w:color w:val="000000"/>
                <w:sz w:val="15"/>
              </w:rPr>
              <w:t>Six Months Ended June 30,</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5"/>
              </w:rPr>
            </w:pPr>
            <w:r>
              <w:rPr>
                <w:rFonts w:ascii="Trade Gothic;sans-serif" w:hAnsi="Trade Gothic;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5"/>
              </w:rPr>
            </w:pPr>
            <w:r>
              <w:rPr>
                <w:rFonts w:ascii="Trade Gothic;sans-serif" w:hAnsi="Trade Gothic;sans-serif"/>
                <w:b/>
                <w:color w:val="000000"/>
                <w:sz w:val="15"/>
              </w:rPr>
              <w:t>2025</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5"/>
              </w:rPr>
            </w:pPr>
            <w:r>
              <w:rPr>
                <w:rFonts w:ascii="Trade Gothic;sans-serif" w:hAnsi="Trade Gothic;sans-serif"/>
                <w:b/>
                <w:color w:val="000000"/>
                <w:sz w:val="15"/>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(33,682)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(17,498)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932 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Change in fair value of redeemable convertible preferred stock tranche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1,526 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Interest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Changes in: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(123)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816 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Payroll-related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(499)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(74)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(217)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(28,383)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(14,526)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5"/>
              </w:rPr>
            </w:pPr>
            <w:r>
              <w:rPr>
                <w:rFonts w:ascii="Trade Gothic;sans-serif" w:hAnsi="Trade Gothic;sans-serif"/>
                <w:b/>
                <w:color w:val="000000"/>
                <w:sz w:val="15"/>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(216)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Purchases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Redemptions of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5"/>
              </w:rPr>
            </w:pPr>
            <w:r>
              <w:rPr>
                <w:rFonts w:ascii="Trade Gothic;sans-serif" w:hAnsi="Trade Gothic;sans-serif"/>
                <w:b/>
                <w:color w:val="000000"/>
                <w:sz w:val="15"/>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111 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(1,450)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Gross proceeds from issuance of redeemable convertible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127,336 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Issuance costs of redeemable convertible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(288)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Gross proceeds from initial public offering of common stock, net of underwriting discounts and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160,425 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Payments for deferred initial public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157,768 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125,709 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Net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126,785 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110,967 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96,358 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16,268 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223,143 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127,235 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5"/>
              </w:rPr>
            </w:pPr>
            <w:r>
              <w:rPr>
                <w:rFonts w:ascii="Trade Gothic;sans-serif" w:hAnsi="Trade Gothic;sans-serif"/>
                <w:b/>
                <w:color w:val="000000"/>
                <w:sz w:val="15"/>
              </w:rPr>
              <w:t>Supplemental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Conversion of redeemable convertible preferred stock upon initial public offering</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204,537 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Settlement of redeemable convertible preferred stock tranche liability</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4,943 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Purchases of property and equipment included in accounts payable and other current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745 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48 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Deferred offering costs included in accounts payable and other current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5"/>
              </w:rPr>
            </w:pPr>
            <w:r>
              <w:rPr>
                <w:rFonts w:ascii="Trade Gothic;sans-serif" w:hAnsi="Trade Gothic;sans-serif"/>
                <w:b w:val="false"/>
                <w:color w:val="000000"/>
                <w:sz w:val="15"/>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5"/>
              </w:rPr>
            </w:pPr>
            <w:r>
              <w:rPr>
                <w:rFonts w:ascii="Trade Gothic;sans-serif" w:hAnsi="Trade Gothic;sans-serif"/>
                <w:b w:val="false"/>
                <w:color w:val="000000"/>
                <w:sz w:val="15"/>
              </w:rPr>
              <w:t>421 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See accompanying 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0335"/>
                <wp:effectExtent l="0" t="0" r="0" b="0"/>
                <wp:wrapNone/>
                <wp:docPr id="9" name="Frame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20"/>
        <w:jc w:val="left"/>
        <w:rPr>
          <w:rFonts w:ascii="Trade Gothic;sans-serif" w:hAnsi="Trade Gothic;sans-serif"/>
          <w:b/>
          <w:color w:val="000000"/>
          <w:sz w:val="20"/>
        </w:rPr>
      </w:pPr>
      <w:bookmarkStart w:id="6" w:name="id48ee6f6522149b9bdb13c37060d945f_75"/>
      <w:bookmarkEnd w:id="6"/>
      <w:r>
        <w:rPr>
          <w:rFonts w:ascii="Trade Gothic;sans-serif" w:hAnsi="Trade Gothic;sans-serif"/>
          <w:b/>
          <w:color w:val="000000"/>
          <w:sz w:val="20"/>
        </w:rPr>
        <w:t>Notes to Condensed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 Description of Business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SpyGlass Pharma, Inc. (the Company) was incorporated on January 7, 2019. The Company is a late-stage biopharmaceutical company and has initiated its Phase 3 clinical trials for its lead product, an intraocular lens mounted, controlled release, drug delivery system intended to treat glaucoma through the delivery of the drug bimatoprost.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Reverse Stock Split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board of directors and stockholders approved a one-for-5.7329 reverse stock split effective on January 28, 2026 of its issued and outstanding common stock, Series A, Series B, Series C-1, Series C-2, and Series D redeemable convertible preferred stock. Accordingly, all share and per share amounts for all periods presented in the accompanying condensed financial statements and notes thereto have been retroactively adjusted, where applicable, to reflect the effects of the reverse stock split. The authorized shares and par value of the common stock and preferred stock remained unchanged as a result of the reverse stock split. As the number, issuance price, and conversion price of all outstanding preferred stock were adjusted, the conversion ratios for each series of the Company’s preferred stock were unchanged. Additionally, the number of shares of common stock underlying outstanding stock options were proportionately reduced and the respective exercise prices were proportionately increased in accordance with the terms of the appropriate agreements.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Initial Public Offering of Common Stock</w:t>
      </w:r>
    </w:p>
    <w:p>
      <w:pPr>
        <w:pStyle w:val="TextBody"/>
        <w:bidi w:val="0"/>
        <w:spacing w:lineRule="auto" w:line="288" w:before="0" w:after="240"/>
        <w:jc w:val="left"/>
        <w:rPr/>
      </w:pPr>
      <w:r>
        <w:rPr>
          <w:rFonts w:ascii="Trade Gothic;sans-serif" w:hAnsi="Trade Gothic;sans-serif"/>
          <w:b w:val="false"/>
          <w:color w:val="000000"/>
          <w:sz w:val="19"/>
        </w:rPr>
        <w:t>On February 9, 2026, the Company closed its initial public offering (IPO) of 10,781,250 shares of common stock, which included the exercise in full of the underwriters’ option to purchase 1,406,250 additional shares of common stock, at a public offering price of $16.00 per share. The aggregate gross proceeds from the offering were $172.5 million, before deducting underwriting discounts and commissions and other offering expenses. Upon the pricing of the IPO, on February 5, 2026, the Company granted 1,312,044 options to purchase shares of common stock at the public offering price under the Company’s 2026 Equity Incentive Plan (the 2026 Plan), which became effective</w:t>
      </w:r>
      <w:r>
        <w:rPr>
          <w:color w:val="000000"/>
        </w:rPr>
        <w:t xml:space="preserve"> </w:t>
      </w:r>
      <w:r>
        <w:rPr>
          <w:rFonts w:ascii="Trade Gothic;sans-serif" w:hAnsi="Trade Gothic;sans-serif"/>
          <w:b w:val="false"/>
          <w:color w:val="000000"/>
          <w:sz w:val="19"/>
        </w:rPr>
        <w:t>in connection with the IPO of common stock. The Company’s 2019 Equity Incentive Plan (the 2019 Plan) terminated upon the effectiveness of the 2026 Plan, and the Company will not grant any additional awards under the 2019 Plan following its termination. However, the 2019 Plan will continue to govern the terms and conditions of the outstanding awards previously granted under our 2019 Plan.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Risks, uncertainties, going concern and management’s plans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is subject to certain risks and uncertainties, including, but not limited to changes in any of the following areas that the Company believes could have a material adverse effect on future financial position or results of operations: the availability of future financing; the ability to obtain regulatory approval and market acceptance of, and reimbursement for, the Company’s drug candidates if approved; the performance of third-party clinical research organizations and manufacturers; licenses of intellectual property; future development of intellectual property; litigation or claims against the Company, patent, product, regulatory or other factors; and the Company’s ability to attract and retain employees necessary to support commercial operations. In addition, significant changes in the biotechnology industry or the approval of competitive products or therapies could adversely affect the Company’s development and operating results.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accompanying condensed financial statements have been prepared in conformity with accounting principles generally accepted in the United States of America (GAAP), which contemplate continuation of the Company as a going concern. To date, the Company has relied on equity financing to fund its operations. The Company has an accumulated deficit of $138.4 million as of June 30, 2026, and used cash in operations of $28.4 million during the six months ended June 30, 2026. While the Company has no revenue-generating activities, working capital totaled $227.0 million as of June 30, 2026.</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Successful completion of development of the Company’s initial commercial products is dependent upon continued operations of the Company, which in turn is dependent upon the Company’s ability to meet its financial obligations. The Company will require substantial additional capital to fund its research and development and ongoing operating expenses. The Company expects to seek additional funding through equity financings, debt financings or other sources. The Company may not be able to obtain funding on acceptable terms, or at all. The terms of any future financing may adversely affect the holdings or the rights of the Company’s existing stockholders. If the Company is unable to raise additional funds when needed, it may be required to delay, reduce or eliminate its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0335"/>
                <wp:effectExtent l="0" t="0" r="0" b="0"/>
                <wp:wrapNone/>
                <wp:docPr id="10" name="Frame1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February 2026, the Company completed the IPO of its common stock, with aggregate gross proceeds from the offering of $172.5 million, before deducting underwriting discounts and commissions and other offering expenses. As of the issuance of these condensed interim financial statements, management believes the Company’s existing cash, cash equivalents, and short-term investments provide sufficient liquidity to continue as a going concern for the next twelve months. The accompanying condensed financial statements have been prepared assuming that the Company will continue as a going concern, which contemplates the realization of assets and the settlement of liabilities and commitments in the normal course of business. The condensed financial statements do not reflect any adjustments relating to the recoverability and reclassification of assets and liabilities that might be necessary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2. Summary of Significant Accounting Policies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Basis of Presentation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condensed financial statements and accompanying notes are prepared on the accrual basis of accounting in accordance with GAAP.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condensed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at June 30, 2026, the results of its operations for the three and six months ended June 30, 2026 and 2025, and the results of its cash flows for the six months ended June 30, 2026 and 2025. The financial data and other information disclosed in these notes related to the three and six months ended June 30, 2026 and 2025 are also unaudited. The results for the three and six months ended June 30, 2026 are not necessarily indicative of results to be expected for the year ending December 31, 2026 or for any other subsequent interim period. The accompanying condensed balance sheet at December 31, 2025 was derived from the Company’s audited annual financial statements included in its Annual Report on Form 10-K for the year ended December 31, 2025; however, certain information and footnote disclosures normally included in the annual financial statements prepared in accordance with GAAP have been omitted from the unaudited interim condensed financial statements.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significant accounting policies and estimates used in the preparation of the accompanying condensed financial statements are described in the Company’s audited financial statements for the year ended December 31, 2025. There have been no material changes to the Company’s accounting policies during the three and six months ended June 30, 2026. Additionally, there have been no updates to the Company’s evaluation of recently issued accounting standards since the issuance of the Company’s audited financial statements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3. Property and Equipment, Net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Property and equipment, net consisted of the following at June 30, 2026 and December 31, 2025:</w:t>
      </w:r>
    </w:p>
    <w:tbl>
      <w:tblPr>
        <w:tblW w:w="6910" w:type="dxa"/>
        <w:jc w:val="left"/>
        <w:tblInd w:w="0" w:type="dxa"/>
        <w:tblLayout w:type="fixed"/>
        <w:tblCellMar>
          <w:top w:w="28" w:type="dxa"/>
          <w:left w:w="28" w:type="dxa"/>
          <w:bottom w:w="28" w:type="dxa"/>
          <w:right w:w="28" w:type="dxa"/>
        </w:tblCellMar>
      </w:tblPr>
      <w:tblGrid>
        <w:gridCol w:w="1163"/>
        <w:gridCol w:w="1020"/>
        <w:gridCol w:w="1026"/>
        <w:gridCol w:w="306"/>
        <w:gridCol w:w="956"/>
        <w:gridCol w:w="147"/>
        <w:gridCol w:w="109"/>
        <w:gridCol w:w="109"/>
        <w:gridCol w:w="109"/>
        <w:gridCol w:w="409"/>
        <w:gridCol w:w="1278"/>
        <w:gridCol w:w="278"/>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December 31, 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Machinery and equipment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2,690 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2,098 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Furniture and fixtures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Computers and hardware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Software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Leasehold improvements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 xml:space="preserve">Construction in progress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Property and equipment, gross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3,453 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Less: accumulated depreciation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(1,774)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(1,114)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Property and equipment, net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4,785 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2,339 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0335"/>
                <wp:effectExtent l="0" t="0" r="0" b="0"/>
                <wp:wrapNone/>
                <wp:docPr id="11" name="Frame1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Depreciation expense for the three and six months ended June 30, 2026 was $0.3 million and $0.7 million, respectively, and was $0.1 million and $0.3 million for the three and six months ended June 30, 2025, respectively. Depreciation expense was allocated as follows:</w:t>
      </w:r>
    </w:p>
    <w:tbl>
      <w:tblPr>
        <w:tblW w:w="8647" w:type="dxa"/>
        <w:jc w:val="left"/>
        <w:tblInd w:w="0" w:type="dxa"/>
        <w:tblLayout w:type="fixed"/>
        <w:tblCellMar>
          <w:top w:w="28" w:type="dxa"/>
          <w:left w:w="28" w:type="dxa"/>
          <w:bottom w:w="28" w:type="dxa"/>
          <w:right w:w="28" w:type="dxa"/>
        </w:tblCellMar>
      </w:tblPr>
      <w:tblGrid>
        <w:gridCol w:w="1010"/>
        <w:gridCol w:w="886"/>
        <w:gridCol w:w="894"/>
        <w:gridCol w:w="316"/>
        <w:gridCol w:w="735"/>
        <w:gridCol w:w="152"/>
        <w:gridCol w:w="152"/>
        <w:gridCol w:w="152"/>
        <w:gridCol w:w="152"/>
        <w:gridCol w:w="316"/>
        <w:gridCol w:w="735"/>
        <w:gridCol w:w="152"/>
        <w:gridCol w:w="109"/>
        <w:gridCol w:w="109"/>
        <w:gridCol w:w="109"/>
        <w:gridCol w:w="288"/>
        <w:gridCol w:w="670"/>
        <w:gridCol w:w="139"/>
        <w:gridCol w:w="139"/>
        <w:gridCol w:w="139"/>
        <w:gridCol w:w="139"/>
        <w:gridCol w:w="288"/>
        <w:gridCol w:w="670"/>
        <w:gridCol w:w="196"/>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Six Months Ended June 30,</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Depreciation expense</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660 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were no gains or losses on dispositions of property and equipment for the three and six months ended June 30, 2026. The Company recognized a loss of $3.9 thousand for the disposition of property and equipment for the three and six months ended June 30, 2025. Additionally, there were no impairment losses recognized during each of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4. Redeemable Convertible Preferred Stock and Stockholders’ Equity (Deficit)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Company's IPO on February 9, 2026, all outstanding shares of the Company’s redeemable convertible preferred stock automatically converted into shares of common stock at the applicable conversion ratio then in effect. The Company's outstanding shares of preferred stock were converted into 20,341,968 shares of common stock. As a result of the conversion, as of June 30, 2026, there were no authorized, issued or outstanding shares of redeemable convertible preferred stock.</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June 30, 2026, the Company had authorized 1,000,000,000 shares of common stock with a par value of $0.00001, and as of December 31, 2025, the Company had authorized 154,383,336 shares of common stock with a par value of $0.00001. As of June 30, 2026 and December 31, 2025, 33,446,315 and 2,203,620 shares of common stock were issued and outstanding, respectively.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repurchased 174,432 shares of its common stock at $8.31 per share in June 2025. The repurchased common stock was retired and returned to the status of authorized and unissued shares.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A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the Company had authorized 5,483,956 shares of Series A redeemable convertible preferred stock (Series A) with a par value of $0.00001. 956,575 shares of Series A were issued and outstanding as of December 31,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2024, the Company entered into a Series A Preferred Stock Purchase Agreement which provided for the sale and issuance of the Company’s Series A to investors. The financing provided for multiple closings and was completed in May 2019 whereby an aggregate amount of 956,575 shares of Series A were sold and issued at a purchase price of $6.31 per share for an aggregate purchase price of $6.0 million in cash. Related issuance costs for the Series A aggregated to $0.1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B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December 31, 2025, the Company had authorized 21,317,825 shares of Series B redeemable convertible preferred stock (Series B) with a par value of $0.00001.</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2024, the Company entered into a Series B Preferred Stock Purchase Agreement which provided for the sale and issuance of the Company’s Series B to investors at a purchase price of $7.40 per share. As of December 31, 2025, 3,718,503 shares of Series B were issued and outstanding. Gross cash proceeds raised from Series B totaled $27.5 million. Related issuance costs for the Series B aggregated to $0.2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C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July 2023, the Company entered into a Series C Preferred Stock Purchase Agreement which provided for the sale and issuance of the Company’s Series C redeemable convertible preferred stock in two tranches, Series C-1 and Series C-2, to investors at a purchase price of $8.11 per share and $10.14 per share, respectively. As of December 31, 2025, 4,933,836 shares of Series C-1 were issued and outstanding. Gross cash proceeds raised from Series C-1 totaled $40.0 million and were issued contemporaneously with the execution of the Series C Preferred Stock Purchase Agreement. The Company completed the issuance of the Series C-2 in March 2025. Gross cash proceeds raised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0335"/>
                <wp:effectExtent l="0" t="0" r="0" b="0"/>
                <wp:wrapNone/>
                <wp:docPr id="12" name="Frame1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issuance of 4,933,589 Series C-2 shares totaled $50.0 million. Related issuance costs for the Series C totaled $0.3 million from the original issuance in 2023 and an additional $20,772 in 2025 in conjunction with the Series C-2 issuance aggregating to $0.3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Company determined the right of the investors to purchase shares of Series C-2 redeemable convertible preferred stock at a fixed cash issuance price per share at a future date met the definition of a freestanding financial instrument as the instrument is legally detachable and separately exercisable (the Redeemable Convertible Preferred Stock Tranche Liability) from the shares of Series C-1 Preferred Stock. The Redeemable Convertible Preferred Stock Tranche Liability was recognized at fair value upon the issuance of the Series C-1 redeemable convertible preferred stock in July 2023. The Redeemable Convertible Preferred Stock Tranche Liability was subject to remeasurement at each balance sheet date, with changes in fair value recognized within other income (expense) in the condensed statement of operations and comprehensive loss. The Redeemable Convertible Preferred Stock Tranche Liability was measured at level 3 of the fair value hierarchy in accordance with ASC 820. Upon closing of the Series C-2 preferred stock tranche in March 2025, the Redeemable Convertible Preferred Stock Tranche Liability was settled. </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Redeemable Convertible Series D Preferred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May 2025, the Company entered into a Series D Preferred Stock Purchase Agreement which provides for the sale and issuance of the Company’s Series D redeemable convertible preferred stock (Series D) to investors at a purchase price of $13.34. As of December 31, 2025, 5,799,465 shares of Series D were issued and outstanding. Gross cash proceeds raised from Series D in the initial closing in May 2025 totaled $75.0 million and were issued contemporaneously with the execution of the Series D Preferred Stock Purchase Agreement. Gross proceeds raised from the Series D in the subsequent closing in June 2025 totaled $2.3 million. Related issuance costs for the Series D totaled $0.3 million from the original issuance and an additional $5,254 in the subsequent issuance aggregating to $0.3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 consisted of the following at December 31, 2025:</w:t>
      </w:r>
    </w:p>
    <w:tbl>
      <w:tblPr>
        <w:tblW w:w="10205" w:type="dxa"/>
        <w:jc w:val="left"/>
        <w:tblInd w:w="0" w:type="dxa"/>
        <w:tblLayout w:type="fixed"/>
        <w:tblCellMar>
          <w:top w:w="28" w:type="dxa"/>
          <w:left w:w="28" w:type="dxa"/>
          <w:bottom w:w="28" w:type="dxa"/>
          <w:right w:w="28" w:type="dxa"/>
        </w:tblCellMar>
      </w:tblPr>
      <w:tblGrid>
        <w:gridCol w:w="1415"/>
        <w:gridCol w:w="1196"/>
        <w:gridCol w:w="1199"/>
        <w:gridCol w:w="623"/>
        <w:gridCol w:w="623"/>
        <w:gridCol w:w="246"/>
        <w:gridCol w:w="115"/>
        <w:gridCol w:w="115"/>
        <w:gridCol w:w="115"/>
        <w:gridCol w:w="239"/>
        <w:gridCol w:w="1006"/>
        <w:gridCol w:w="115"/>
        <w:gridCol w:w="115"/>
        <w:gridCol w:w="115"/>
        <w:gridCol w:w="115"/>
        <w:gridCol w:w="483"/>
        <w:gridCol w:w="2030"/>
        <w:gridCol w:w="340"/>
      </w:tblGrid>
      <w:tr>
        <w:trPr/>
        <w:tc>
          <w:tcPr>
            <w:tcW w:w="141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data)</w:t>
            </w:r>
          </w:p>
        </w:tc>
        <w:tc>
          <w:tcPr>
            <w:tcW w:w="63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Redeemable Convertible Preferred Stock</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As of December 31, 2025</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Liquidation Preference</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A preferred stock</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956,575 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5,465 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8"/>
              </w:rPr>
            </w:pPr>
            <w:r>
              <w:rPr>
                <w:rFonts w:ascii="Trade Gothic;sans-serif" w:hAnsi="Trade Gothic;sans-serif"/>
                <w:b w:val="false"/>
                <w:color w:val="000000"/>
                <w:sz w:val="18"/>
              </w:rPr>
              <w:t>$</w:t>
            </w:r>
          </w:p>
        </w:tc>
        <w:tc>
          <w:tcPr>
            <w:tcW w:w="2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6,032 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B preferred stock</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3,718,503 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27,321 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27,500 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C-1 preferred stock</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4,933,836 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39,760 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40,010 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C-2 preferred stock</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4,933,589 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54,932 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50,010 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Series D preferred stock</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5,799,465 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77,059 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8"/>
              </w:rPr>
            </w:pPr>
            <w:r>
              <w:rPr>
                <w:rFonts w:ascii="Trade Gothic;sans-serif" w:hAnsi="Trade Gothic;sans-serif"/>
                <w:b w:val="false"/>
                <w:color w:val="000000"/>
                <w:sz w:val="18"/>
              </w:rPr>
              <w:t>77,326 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redeemable convertible preferred stock</w:t>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204,537 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20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200,878 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40"/>
        <w:jc w:val="left"/>
        <w:rPr>
          <w:rFonts w:ascii="Trade Gothic;sans-serif" w:hAnsi="Trade Gothic;sans-serif"/>
          <w:b w:val="false"/>
          <w:color w:val="000000"/>
          <w:sz w:val="19"/>
        </w:rPr>
      </w:pPr>
      <w:r>
        <w:rPr>
          <w:rFonts w:ascii="Trade Gothic;sans-serif" w:hAnsi="Trade Gothic;sans-serif"/>
          <w:b w:val="false"/>
          <w:color w:val="000000"/>
          <w:sz w:val="19"/>
        </w:rPr>
        <w:t>The Company completed its IPO on February 9, 2026. In connection with the IPO, all outstanding shares of redeemable convertible preferred stock converted into an aggregate of 20,341,968 shares of common stock. As a result, no shares of redeemable convertible preferred stock remain outstanding as of June 30, 2026.</w:t>
      </w:r>
    </w:p>
    <w:p>
      <w:pPr>
        <w:pStyle w:val="TextBody"/>
        <w:bidi w:val="0"/>
        <w:spacing w:lineRule="auto" w:line="288" w:before="80" w:after="240"/>
        <w:jc w:val="left"/>
        <w:rPr>
          <w:rFonts w:ascii="Trade Gothic;sans-serif" w:hAnsi="Trade Gothic;sans-serif"/>
          <w:b w:val="false"/>
          <w:color w:val="000000"/>
          <w:sz w:val="19"/>
        </w:rPr>
      </w:pPr>
      <w:r>
        <w:rPr>
          <w:rFonts w:ascii="Trade Gothic;sans-serif" w:hAnsi="Trade Gothic;sans-serif"/>
          <w:b w:val="false"/>
          <w:color w:val="000000"/>
          <w:sz w:val="19"/>
        </w:rPr>
        <w:t>For a description of the rights, preferences and privileges of the redeemable convertible preferred stock prior to its conversion, refer to Note 4 to the audited financial statements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5. Fair Value Measurements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Company’s assets and liabilities that are measured at fair value on a recurring basis include the following as of June 30, 2026 and December 31, 2025, set forth by level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0335"/>
                <wp:effectExtent l="0" t="0" r="0" b="0"/>
                <wp:wrapNone/>
                <wp:docPr id="13" name="Frame1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tbl>
      <w:tblPr>
        <w:tblW w:w="7597" w:type="dxa"/>
        <w:jc w:val="left"/>
        <w:tblInd w:w="0" w:type="dxa"/>
        <w:tblLayout w:type="fixed"/>
        <w:tblCellMar>
          <w:top w:w="28" w:type="dxa"/>
          <w:left w:w="28" w:type="dxa"/>
          <w:bottom w:w="28" w:type="dxa"/>
          <w:right w:w="28" w:type="dxa"/>
        </w:tblCellMar>
      </w:tblPr>
      <w:tblGrid>
        <w:gridCol w:w="886"/>
        <w:gridCol w:w="777"/>
        <w:gridCol w:w="781"/>
        <w:gridCol w:w="226"/>
        <w:gridCol w:w="706"/>
        <w:gridCol w:w="109"/>
        <w:gridCol w:w="109"/>
        <w:gridCol w:w="109"/>
        <w:gridCol w:w="109"/>
        <w:gridCol w:w="226"/>
        <w:gridCol w:w="826"/>
        <w:gridCol w:w="109"/>
        <w:gridCol w:w="109"/>
        <w:gridCol w:w="109"/>
        <w:gridCol w:w="109"/>
        <w:gridCol w:w="233"/>
        <w:gridCol w:w="419"/>
        <w:gridCol w:w="112"/>
        <w:gridCol w:w="109"/>
        <w:gridCol w:w="109"/>
        <w:gridCol w:w="109"/>
        <w:gridCol w:w="226"/>
        <w:gridCol w:w="82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 June 30, 2026</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20,629 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97" w:type="dxa"/>
        <w:jc w:val="left"/>
        <w:tblInd w:w="0" w:type="dxa"/>
        <w:tblLayout w:type="fixed"/>
        <w:tblCellMar>
          <w:top w:w="28" w:type="dxa"/>
          <w:left w:w="28" w:type="dxa"/>
          <w:bottom w:w="28" w:type="dxa"/>
          <w:right w:w="28" w:type="dxa"/>
        </w:tblCellMar>
      </w:tblPr>
      <w:tblGrid>
        <w:gridCol w:w="886"/>
        <w:gridCol w:w="777"/>
        <w:gridCol w:w="781"/>
        <w:gridCol w:w="226"/>
        <w:gridCol w:w="706"/>
        <w:gridCol w:w="109"/>
        <w:gridCol w:w="109"/>
        <w:gridCol w:w="109"/>
        <w:gridCol w:w="109"/>
        <w:gridCol w:w="226"/>
        <w:gridCol w:w="826"/>
        <w:gridCol w:w="109"/>
        <w:gridCol w:w="109"/>
        <w:gridCol w:w="109"/>
        <w:gridCol w:w="109"/>
        <w:gridCol w:w="233"/>
        <w:gridCol w:w="419"/>
        <w:gridCol w:w="112"/>
        <w:gridCol w:w="109"/>
        <w:gridCol w:w="109"/>
        <w:gridCol w:w="109"/>
        <w:gridCol w:w="226"/>
        <w:gridCol w:w="82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As of December 31, 2025</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fair value of the Redeemable Convertible Preferred Stock Tranche Liability was based on significant inputs not observable in the market, which represent a level 3 measurement within the fair value hierarchy. The fair value of the Redeemable Convertible Preferred Stock Tranche Liability was determined using a Monte Carlo simulation forecasting the timing and likelihood of certain development milestone events being achieved and discounting the probability adjusted payments using an appropriate discount rate based on market interest rates. The main assumptions when determining the fair value of the Redeemable Convertible Preferred Stock Tranche Liability is the timing of and probability of achieving certain milestones, the estimated volatility of the Company’s common stock, and the discount rate. The estimated fair value presented is not necessarily indicative of an amount that could be realized in a current market exchange. The use of alternative inputs and estimation methodologies could have a material effect on these estimates of fair value.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reflects the fair value of the Company's level 3 Redeemable Convertible Preferred Stock Tranche Liability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3300"/>
        <w:gridCol w:w="2895"/>
        <w:gridCol w:w="2922"/>
        <w:gridCol w:w="226"/>
        <w:gridCol w:w="706"/>
        <w:gridCol w:w="156"/>
      </w:tblGrid>
      <w:tr>
        <w:trPr/>
        <w:tc>
          <w:tcPr>
            <w:tcW w:w="330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Fair value of the Redeemable Convertible Preferred Stock Tranche Liability as of December 31, 2024</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Change in fair value of the Redeemable Convertible Preferred Stock Tranche Liability in March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Settlement of tranche in March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(4,943)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Fair value of the Redeemable Convertible Preferred Stock Tranche Liability as of June 30, 2025</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240"/>
        <w:jc w:val="left"/>
        <w:rPr>
          <w:rFonts w:ascii="Trade Gothic;sans-serif" w:hAnsi="Trade Gothic;sans-serif"/>
          <w:b w:val="false"/>
          <w:color w:val="000000"/>
          <w:sz w:val="19"/>
        </w:rPr>
      </w:pPr>
      <w:r>
        <w:rPr>
          <w:rFonts w:ascii="Trade Gothic;sans-serif" w:hAnsi="Trade Gothic;sans-serif"/>
          <w:b w:val="false"/>
          <w:color w:val="000000"/>
          <w:sz w:val="19"/>
        </w:rPr>
        <w:t>Short-term investments consist of fixed income U.S. treasury securities and certificates of deposit with maturities primarily between three and twelve months. The United States Treasury securities and Certificate of Deposit investments are classified as held-to-maturity and are reported at amortized cost, plus any additional costs incurred, as of June 30, 2026 and December 31, 2025. The amortized cost and fair value of held-to-maturity securities approximated each other at June 30, 2026 and December 31, 2025.</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During the three and six months ended June 30, 2026 and 2025, there were no transfers between level 1, level 2 and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6. Equity Based Compensation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Stock-based compensation expense is included in the accompanying condensed statements of operations and comprehensive loss and is allocated to operating expenses based on the function of the related employee. Total stock-based compensation expense for the three and six months ended June 30, 2026 was $2.1 million and $3.8 million, respectively, and was $0.6 million and $0.9 million, respectively, for the three and six months ended June 30, 2025. Of these amounts, $0.7 million and $1.3 million for the three and six months ended June 30, 2026, respectively, and $0.3 million and $0.4 million for the three and six months ended June 30, 2025, respectively, were recorded to research and development expenses. $1.4 million and $2.5 million for the three and six months ended June 30, 2026, respectively, and $0.3 million and $0.5 million for the three and six months ended June 30, 2025, respectively, were recorded to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0335"/>
                <wp:effectExtent l="0" t="0" r="0" b="0"/>
                <wp:wrapNone/>
                <wp:docPr id="14" name="Frame1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fair value of each option grant during the three and six months ended June 30, 2026 and 2025 was estimated on the grant date using the Black-Scholes option pricing model with the following assumptions:</w:t>
      </w:r>
    </w:p>
    <w:tbl>
      <w:tblPr>
        <w:tblW w:w="9574" w:type="dxa"/>
        <w:jc w:val="left"/>
        <w:tblInd w:w="0" w:type="dxa"/>
        <w:tblLayout w:type="fixed"/>
        <w:tblCellMar>
          <w:top w:w="28" w:type="dxa"/>
          <w:left w:w="28" w:type="dxa"/>
          <w:bottom w:w="28" w:type="dxa"/>
          <w:right w:w="28" w:type="dxa"/>
        </w:tblCellMar>
      </w:tblPr>
      <w:tblGrid>
        <w:gridCol w:w="854"/>
        <w:gridCol w:w="750"/>
        <w:gridCol w:w="751"/>
        <w:gridCol w:w="194"/>
        <w:gridCol w:w="165"/>
        <w:gridCol w:w="167"/>
        <w:gridCol w:w="136"/>
        <w:gridCol w:w="136"/>
        <w:gridCol w:w="136"/>
        <w:gridCol w:w="251"/>
        <w:gridCol w:w="227"/>
        <w:gridCol w:w="227"/>
        <w:gridCol w:w="136"/>
        <w:gridCol w:w="136"/>
        <w:gridCol w:w="136"/>
        <w:gridCol w:w="136"/>
        <w:gridCol w:w="136"/>
        <w:gridCol w:w="136"/>
        <w:gridCol w:w="136"/>
        <w:gridCol w:w="136"/>
        <w:gridCol w:w="136"/>
        <w:gridCol w:w="136"/>
        <w:gridCol w:w="136"/>
        <w:gridCol w:w="136"/>
        <w:gridCol w:w="109"/>
        <w:gridCol w:w="109"/>
        <w:gridCol w:w="109"/>
        <w:gridCol w:w="188"/>
        <w:gridCol w:w="171"/>
        <w:gridCol w:w="167"/>
        <w:gridCol w:w="124"/>
        <w:gridCol w:w="124"/>
        <w:gridCol w:w="124"/>
        <w:gridCol w:w="246"/>
        <w:gridCol w:w="229"/>
        <w:gridCol w:w="229"/>
        <w:gridCol w:w="124"/>
        <w:gridCol w:w="124"/>
        <w:gridCol w:w="124"/>
        <w:gridCol w:w="188"/>
        <w:gridCol w:w="171"/>
        <w:gridCol w:w="167"/>
        <w:gridCol w:w="124"/>
        <w:gridCol w:w="124"/>
        <w:gridCol w:w="124"/>
        <w:gridCol w:w="232"/>
        <w:gridCol w:w="213"/>
        <w:gridCol w:w="304"/>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Six Months Ended June 30,</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Expected volatility</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78</w:t>
            </w:r>
          </w:p>
        </w:tc>
        <w:tc>
          <w:tcPr>
            <w:tcW w:w="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78</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60</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80%</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Dividend yield</w:t>
            </w:r>
          </w:p>
        </w:tc>
        <w:tc>
          <w:tcPr>
            <w:tcW w:w="16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0%</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Risk free interest rates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4.17</w:t>
            </w:r>
          </w:p>
        </w:tc>
        <w:tc>
          <w:tcPr>
            <w:tcW w:w="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4.34%</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3.87</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4.34%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4.11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4.32%</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Expected term (years)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6.5</w:t>
            </w:r>
          </w:p>
        </w:tc>
        <w:tc>
          <w:tcPr>
            <w:tcW w:w="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w:t>
            </w:r>
          </w:p>
        </w:tc>
      </w:tr>
      <w:tr>
        <w:trPr/>
        <w:tc>
          <w:tcPr>
            <w:tcW w:w="2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Expected volatility – Since the Company does not have sufficient stock price history, the expected volatility is calculated based on the average volatility for a peer group of companies in the industry and a similar stage of development in which the Company does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Dividend yield of zero – The Company has not, and does not, intend to pay, dividends.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Risk-free interest rates – The Company applies the risk-free interest rate based on the U.S. Treasury yield for the expected term of the option.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Expected term - For employee and non-employee stock options, the Company calculated the expected term as the average of the contractual term of the option and the vesting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estimated fair value of the Company’s common stock was determined by the Company’s management and board of directors and considered valuation estimates from a qualified, independent third-party valuation firm.</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Stock Option Activity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 summary of stock option activity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1156"/>
        <w:gridCol w:w="902"/>
        <w:gridCol w:w="904"/>
        <w:gridCol w:w="987"/>
        <w:gridCol w:w="804"/>
        <w:gridCol w:w="806"/>
        <w:gridCol w:w="109"/>
        <w:gridCol w:w="109"/>
        <w:gridCol w:w="109"/>
        <w:gridCol w:w="515"/>
        <w:gridCol w:w="1337"/>
        <w:gridCol w:w="250"/>
        <w:gridCol w:w="109"/>
        <w:gridCol w:w="109"/>
        <w:gridCol w:w="109"/>
        <w:gridCol w:w="353"/>
        <w:gridCol w:w="1291"/>
        <w:gridCol w:w="246"/>
      </w:tblGrid>
      <w:tr>
        <w:trPr/>
        <w:tc>
          <w:tcPr>
            <w:tcW w:w="115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and per share data)</w:t>
            </w:r>
          </w:p>
        </w:tc>
        <w:tc>
          <w:tcPr>
            <w:tcW w:w="2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Number of Shares Underlying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Intrinsic Value</w:t>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2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January 1, 2026</w:t>
            </w:r>
          </w:p>
        </w:tc>
        <w:tc>
          <w:tcPr>
            <w:tcW w:w="1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3,405,906 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19,279 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Granted</w:t>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1,483,644 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16.44 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Cancelled or expired</w:t>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(56,859)</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11.13 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Exercised</w:t>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(119,477)</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0.71 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June 30, 2026</w:t>
            </w:r>
          </w:p>
        </w:tc>
        <w:tc>
          <w:tcPr>
            <w:tcW w:w="1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4,713,214 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8.37 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65,554 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Vested and expected to vest at June 30, 2026</w:t>
            </w:r>
          </w:p>
        </w:tc>
        <w:tc>
          <w:tcPr>
            <w:tcW w:w="17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4,713,214 </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8.37 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65,554 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summarizes information concerning outstanding and exercisable stock options at June 30, 2026:</w:t>
      </w:r>
    </w:p>
    <w:tbl>
      <w:tblPr>
        <w:tblW w:w="10205" w:type="dxa"/>
        <w:jc w:val="left"/>
        <w:tblInd w:w="0" w:type="dxa"/>
        <w:tblLayout w:type="fixed"/>
        <w:tblCellMar>
          <w:top w:w="28" w:type="dxa"/>
          <w:left w:w="28" w:type="dxa"/>
          <w:bottom w:w="28" w:type="dxa"/>
          <w:right w:w="28" w:type="dxa"/>
        </w:tblCellMar>
      </w:tblPr>
      <w:tblGrid>
        <w:gridCol w:w="826"/>
        <w:gridCol w:w="726"/>
        <w:gridCol w:w="729"/>
        <w:gridCol w:w="563"/>
        <w:gridCol w:w="563"/>
        <w:gridCol w:w="281"/>
        <w:gridCol w:w="109"/>
        <w:gridCol w:w="109"/>
        <w:gridCol w:w="109"/>
        <w:gridCol w:w="561"/>
        <w:gridCol w:w="1456"/>
        <w:gridCol w:w="272"/>
        <w:gridCol w:w="109"/>
        <w:gridCol w:w="109"/>
        <w:gridCol w:w="109"/>
        <w:gridCol w:w="1044"/>
        <w:gridCol w:w="1044"/>
        <w:gridCol w:w="1486"/>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Weighted Average Remaining Contractual Life (Years)</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Outstanding at June 30, 2026</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4,713,214 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8.37 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8.8</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Exercisable at June 30, 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1,166,290 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3.10 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7.7</w:t>
            </w:r>
          </w:p>
        </w:tc>
      </w:tr>
      <w:tr>
        <w:trPr/>
        <w:tc>
          <w:tcPr>
            <w:tcW w:w="2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aggregate intrinsic value of exercisable options at June 30, 2026 was $22.3 million. As of June 30, 2026, unrecognized compensation cost related to non-vested options was $27.1 million, and the weighted average period over which this amount is expected to be recognized is 2.7 years. The weighted average grant date fair value of stock options granted during the three and six months ended June 30, 2026 was $14.21 per share and $12.11 per share, respectively. The weighted average grant date fair value of stock options during the three and six months ended June 30, 2025 was $5.42 per share and $5.19 per share,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0335"/>
                <wp:effectExtent l="0" t="0" r="0" b="0"/>
                <wp:wrapNone/>
                <wp:docPr id="15" name="Frame1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7. Commitments and Contingencies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Concentrations of Credit Risk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Financial instruments that potentially subject the Company to concentrations of credit risk consist principally of cash equivalents and short-term investments. Management mitigates such potential risks by maintaining the Company’s cash equivalents and short-term investment balances with entities that management believes possess high-credit quality. As of June 30, 2026 and December 31, 2025, the Company had $49.7 million and $18.9 million, respectively, on deposit that was not federally-insured or insured by the Securities Investor Protection Corporation.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University of Colorado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March 2020, the Company entered into a license agreement with the Regents of the University of Colorado, which was amended in December of 2020, May of 2023 and October of 2025, under which the Company obtained an exclusive, royalty-bearing, sublicensable, worldwide license under a patent application co-owned by the University of Colorado and the Company relating to an intra-ocular drug dispenser and all patents claiming priority to such patent to develop, manufacture, and commercialize products for use in the treatment of various ophthalmic diseases. The Company has the right to grant sublicenses to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is required to reimburse the University of Colorado for costs incurred in applying and maintaining patents, which are recorded as a research and development expense as incurred. The Company is also required to pay the maintenance fees on an annual basis as each of the anniversary dates from the effective date. The Company expenses this annual license fee to research and development. The Company is required to make payments to the University of Colorado for contingent milestones achieved in the development and commercialization process. The future contingent milestone payments under the Agreements made prior to FDA approval (or the equivalent) are considered contingent upon future research and development outcomes and will be expensed to research and development when issuable. If milestones are achieved, the milestone payment related to FDA approval and any subsequent milestone payments will be capitalized. In addition, the Company is required to pay future royalty payments. The future royalty payments are contingent consideration and should be recorded when payment is probable and estimable. These payments will only be made if commercialization of the Licensed Product(s) is achieved. Therefore, the Company will record royalty payable if or when commercialization is completed and revenues associated with the Licensed Product are estimable and probable. Additionally, the Company must pay the University of Colorado a percentage of the sublicense income received if the Company decides to sublicense their rights to the Licensed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recorded no research and development expense for the three months ended June 30, 2026 and 2025 and $0.1 million and $0.1 million for the six months ended June 30, 2026 and 2025, respectively, under the agreement.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Legal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time to time, the Company may be involved in legal proceedings, investigations and claims generally incidental to its normal business activities. In accordance with GAAP, loss contingencies are accrued when it is probable that a liability has been incurred and the amount of the loss can be reasonably estimated. These estimates are based on an analysis made by management and external legal counsel considering information known at the time.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previously disclosed, on September 17, 2025, Glaukos Corporation (Glaukos) filed a lawsuit in the United States District Court for the Central District of California (the Court) against the Company and against one of its employees (together, the Defendants) (Case No. 8:25-cv-02105) (the Complaint). Glaukos asserted two causes of action against the Company: trade secret misappropriation under the federal Defend Trade Secrets Act, and a similar claim under California’s unfair competition statute. Glaukos asserted three claims against the employee: breach of contract, fraud regarding employee exit documentation, and a violation of the Computer Fraud and Abuse Act. The Complaint requests customary remedies, including (a) a judgment that the Company misappropriated Glaukos’ trade secrets, (b) seizure of Defendants’ computers to arrange for the deletion of any of Glaukos’ trade secrets, (c) a temporary, preliminary and permanent injunction against the Defendants from the use of certain intellectual property, (d) damages, (e) attorneys’ fees, (f) interest on any foregoing sums, and (g) any relief as the court deems just and equitable, which could include future royalty payments.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March 20, 2026, Glaukos amended its Complaint to drop the claim against the Company under California’s unfair competition statute and add a claim against the Company for inducement of breach of contract. On May 22, 2026, the Company filed counterclaims against Glaukos, asserting intentional interference by Glaukos with the Company’s contractual relations, intentional interference by Glaukos with the Company’s prospective economic advantage and unfair competition. Also on May 22, 2026, the Court granted the parties’ joint stipulation to continue the deadlines in the case and extended the original trial date to January 26,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0335"/>
                <wp:effectExtent l="0" t="0" r="0" b="0"/>
                <wp:wrapNone/>
                <wp:docPr id="16" name="Frame1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the Company believes it has meritorious defenses, vehemently denies the allegations and intends to defend the case vigorously, the outcome of this matter is inherently uncertain. Based on management’s review of the facts and circumstances currently available, the Company does not believe that a loss is probable, and no accrual has been recorded related to this matter as of June 30, 2026 and December 31,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Legal costs in connection with loss contingencies are generally expensed as incurred, net of insurance reimbursements as applicable. Insurance reimbursements related to such legal costs are recognized when realized or when recovery is probable and reasonably estimable, and are presented as a reduction of the related legal expense. Legal costs that are contingent upon the outcome of a proceeding are recognized upon resolution of the matter.</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Guarantees and Indemnifications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normal course of business, the Company enters into agreements that contain a variety of representations and provide for certain indemnifications. The Company’s exposure under these agreements is unknown because any such claims may be made against the Company in the future. To date, the Company has not paid any claims or been required to defend any action related to its indemnification obligations. As of June 30, 2026 and December 31, 2025, the Company does not have any material indemnification claims that were probably or reasonably possible and consequently have not recorded related liabilities.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Leases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entered into two operating lease agreements for office and lab space in Aliso Viejo, California. The Company entered into a lease termination agreement on December 1, 2023 and subsequently reinstated the lease on October 1, 2024 for a 12 month period where the Company elected the short-term lease practical expedient and expenses lease cost on a straight line basis. The Company entered into a new lease on January 1, 2024 with a noncancelable period of 90 months, an early termination option with a substantive penalty, and a five-year renewal option. The Company did not include the termination or renewal option in considering the lease term as the Company determined it was not likely to exercise the option. The lease was classified as an operating lease in accordance with the provisions of ASC 842, “Leases”, and discounted using an estimated incremental borrowing rate of 6.52%.</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November 22, 2025, the Company entered into a lease termination agreement related to its office and lab space in Aliso Viejo, California due to the necessity of additional space for operational needs. Under the terms of this agreement, the Company terminated the lease in July 2026. Additionally, on November 22, 2025, the Company entered into a new operating lease agreement for office and lab space in Irvine, California. The new lease commenced under ASC 842 on December 1, 2025 with a noncancelable period of 91 months, with a five-year renewal option, and no early termination option. The Company did not include the renewal option in considering the lease in accordance with the provisions of ASC 842 as the Company determined it was not likely to exercise the option, and discounted using an estimated incremental borrowing rate of 6.42%. The Company’s operating leases do not contain any significant residual value guarantees or restrictive covenants.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 balance sheet information related to the operating leases at June 30, 2026 and December 31, 2025 are as follows:</w:t>
      </w:r>
    </w:p>
    <w:tbl>
      <w:tblPr>
        <w:tblW w:w="6595" w:type="dxa"/>
        <w:jc w:val="left"/>
        <w:tblInd w:w="0" w:type="dxa"/>
        <w:tblLayout w:type="fixed"/>
        <w:tblCellMar>
          <w:top w:w="28" w:type="dxa"/>
          <w:left w:w="28" w:type="dxa"/>
          <w:bottom w:w="28" w:type="dxa"/>
          <w:right w:w="28" w:type="dxa"/>
        </w:tblCellMar>
      </w:tblPr>
      <w:tblGrid>
        <w:gridCol w:w="1049"/>
        <w:gridCol w:w="920"/>
        <w:gridCol w:w="925"/>
        <w:gridCol w:w="306"/>
        <w:gridCol w:w="956"/>
        <w:gridCol w:w="147"/>
        <w:gridCol w:w="109"/>
        <w:gridCol w:w="109"/>
        <w:gridCol w:w="109"/>
        <w:gridCol w:w="409"/>
        <w:gridCol w:w="1278"/>
        <w:gridCol w:w="278"/>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December 31, 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ROU asset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1,428 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1,552 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liabilities, current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Lease liabilities, non-current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1,582 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components of operating lease expense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618"/>
        <w:gridCol w:w="1421"/>
        <w:gridCol w:w="1438"/>
        <w:gridCol w:w="325"/>
        <w:gridCol w:w="586"/>
        <w:gridCol w:w="156"/>
        <w:gridCol w:w="156"/>
        <w:gridCol w:w="156"/>
        <w:gridCol w:w="156"/>
        <w:gridCol w:w="325"/>
        <w:gridCol w:w="759"/>
        <w:gridCol w:w="156"/>
        <w:gridCol w:w="109"/>
        <w:gridCol w:w="109"/>
        <w:gridCol w:w="109"/>
        <w:gridCol w:w="282"/>
        <w:gridCol w:w="657"/>
        <w:gridCol w:w="136"/>
        <w:gridCol w:w="136"/>
        <w:gridCol w:w="136"/>
        <w:gridCol w:w="136"/>
        <w:gridCol w:w="282"/>
        <w:gridCol w:w="657"/>
        <w:gridCol w:w="204"/>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Six Months Ended June 30,</w:t>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lease cost (net of lease modification)</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322 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Short-term and variable lease cost</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0335"/>
                <wp:effectExtent l="0" t="0" r="0" b="0"/>
                <wp:wrapNone/>
                <wp:docPr id="17" name="Frame1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Variable lease costs were immaterial for each of the three and six months ended June 30, 2026 and 2025. Rent expense for the three and six months ended June 30, 2026 was $0.1 million and $0.2 million, respectively, and was $0.2 million and $0.4 million, respectively, for the three and six months ended June 30,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Supplemental cash flows information related to leases for the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2597"/>
        <w:gridCol w:w="2278"/>
        <w:gridCol w:w="2297"/>
        <w:gridCol w:w="403"/>
        <w:gridCol w:w="724"/>
        <w:gridCol w:w="194"/>
        <w:gridCol w:w="109"/>
        <w:gridCol w:w="109"/>
        <w:gridCol w:w="109"/>
        <w:gridCol w:w="344"/>
        <w:gridCol w:w="802"/>
        <w:gridCol w:w="239"/>
      </w:tblGrid>
      <w:tr>
        <w:trPr/>
        <w:tc>
          <w:tcPr>
            <w:tcW w:w="2597"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Six Months Ended</w:t>
            </w:r>
          </w:p>
        </w:tc>
      </w:tr>
      <w:tr>
        <w:trPr/>
        <w:tc>
          <w:tcPr>
            <w:tcW w:w="7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June 30, 2025</w:t>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Cash paid for amounts included in the measurement of operating lease liabilities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401 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ROU asset in exchange for lease liability</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remaining lease term (years)</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6.0</w:t>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Weighted average discount rate</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6.52%</w:t>
            </w:r>
          </w:p>
        </w:tc>
      </w:tr>
      <w:tr>
        <w:trPr/>
        <w:tc>
          <w:tcPr>
            <w:tcW w:w="71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8. Income Taxes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The provision for income taxes primarily relates to projected federal and state income taxes calculated on the projected taxable income for the period. To determine the quarterly provision for income taxes, the Company uses an estimated annual effective tax rate, which is generally based on expected annual income as well as statutory tax rates in the various jurisdictions in which the Company operates. In addition, the tax effects of certain significant or unusual items are recognized discretely in the quarter during which they occur and can be a source of variability in the effective tax rates from quarter to quarter.</w:t>
      </w:r>
    </w:p>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As per ASC 740-270, the Company’s interim tax provision is computed based on the estimated annual effective tax rate approach. The estimated annual effective tax rate approach is used to determine the tax related to ordinary income unless certain exceptions apply. The Company records a valuation allowance to reduce its deferred taxes to the amount it believes is more likely than not to be realized. In making such determination, the Company considers all available positive and negative evidence quarterly, including scheduled reversals of deferred tax liabilities, projected future taxable income, tax planning strategies, and recent financial performance. Forming a conclusion that a valuation allowance is not required is difficult when there is negative evidence such as cumulative losses in recent years. Based upon the Company’s review of all positive and negative evidence, the Company continues to have a full valuation allowance on its deferred tax assets as of June 30, 2026.</w:t>
      </w:r>
    </w:p>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The Company accounts for the uncertainty in income taxes by utilizing a comprehensive model for the recognition, measurement, presentation and disclosure in condensed financial statements of any uncertain tax positions that have been taken or are expected to be taken on an income tax return. Additionally, the Company recognizes the tax benefit from an uncertain tax position only if it is more likely than not that the tax position will be sustained on examination by the taxing authorities based on the technical merits of the position. The tax benefit recognized in the condensed financial statements for a particular tax position is based on the largest benefit that is more likely than not to be realized upon settlement. Accordingly, the Company establishes reserves for uncertain tax positions.</w:t>
      </w:r>
    </w:p>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There was no income tax provision for each of the three and six months ended June 30, 2026 and 2025. The effective tax rate was 0% for each of the three and six months ended June 30, 2026 and 2025, and differs from the statutory federal income tax rate due to the deferred tax assets being subject to a full valuation allowance.</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July 4, 2025, the “One Big Beautiful Bill Act” (OBBBA) was signed into federal law. The OBBBA included multiple provisions applicable to U.S. income tax for businesses, including bonus depreciation for qualified tangible property, immediate expensing of research expenditures, and updates to the calculation of disallowed interest. The legislation has multiple effective dates, with certain provisions effective in 2025 and others to be implemented through 2027. The Company evaluated the enacted provisions of the OBBBA during the quarter ended June 30, 2026, and concluded that the act’s provisions do not have a material impact on the Company’s estimated annual effective tax rate or condensed financial statements due to the full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9. Related Party Transactions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Dr. Malik Y. Kahook, the Company’s co-founder, board chair, and chief medical officer, is a party to a services agreement with the Company and the University of Colorado Medicine, pursuant to which he provides services to the Company in connection with the responsibilities associated with his positions. Such service expenses are recorded within general and administrative operating expenses given the executive management and corporate governance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0335"/>
                <wp:effectExtent l="0" t="0" r="0" b="0"/>
                <wp:wrapNone/>
                <wp:docPr id="18" name="Frame1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related nature of Dr. Kahook’s positions. In conjunction with this agreement, the Company paid the University of Colorado Medicine $0.1 million and $0.2 million during the three and six months ended June 30, 2026, respectively, and $0.1 million and $0.1 million during the three and six months ended June 30, 2025, respectively. The terms of the services agreement, which automatically renews each year, were approved by the Company’s board of directors. There was $0 and $24,995 payable to the University of Colorado Medicine under this agreement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10. Defined Contribution Plan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has a defined contribution savings plan under Section 401(k) of the Internal Revenue Code. The plan covers substantially all employees who meet minimum age and eligibility requirements and allows participants to defer a portion of their annual compensation on a pretax and/or after-tax basis. Company contributions to the plan may be made at the discretion of the Company’s board of directors. There were no contributions made by the Company during each of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11. Segment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Company operates as a single reportable and single operating segment in the development of the treatment paradigm for patients living with chronic eye conditions through long-acting, sustained drug delivery of approved medicines. The Company has not generated revenues since inception. The Company’s chief operating decision maker (CODM) is its chief executive officer. The CODM reviews financial information on a basis consistent with the information presented in the condensed financial statements for purposes of making operating decisions, allocating resources, and evaluating financial performance. The Company’s CODM uses operating loss as the measure to evaluate the segment’s operating performance and to monitor budgeted to actual expenditures associated with capital projects. The measure of segment assets is reported on the Company’s condensed balance sheets as total assets.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During 2026, the Company modified its internal reporting structure and the information provided to its CODM. As a result, the CODM does not review or utilize more disaggregated expense information for purposes of assessing segment performance or allocating resources. Accordingly, disaggregated expense information previously presented is no longer provided, and the Company has not presented additional disaggregated expense information for its reportable single operating segment beyond the expense categories presented in the condensed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12. Net Loss Per Share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sets forth the computation of basic and diluted net loss per share of common stock. Diluted net loss per share considers the more dilutive of the two-class method and if-converted method. The Company’s potentially dilutive securities have been excluded from the computation of diluted net loss per share as the effect would be to reduce the net loss per share. Therefore, the weighted average number of shares of common stock outstanding used to calculate both basic and diluted net loss per share is the same.</w:t>
      </w:r>
    </w:p>
    <w:tbl>
      <w:tblPr>
        <w:tblW w:w="10205" w:type="dxa"/>
        <w:jc w:val="left"/>
        <w:tblInd w:w="0" w:type="dxa"/>
        <w:tblLayout w:type="fixed"/>
        <w:tblCellMar>
          <w:top w:w="28" w:type="dxa"/>
          <w:left w:w="28" w:type="dxa"/>
          <w:bottom w:w="28" w:type="dxa"/>
          <w:right w:w="28" w:type="dxa"/>
        </w:tblCellMar>
      </w:tblPr>
      <w:tblGrid>
        <w:gridCol w:w="1673"/>
        <w:gridCol w:w="1148"/>
        <w:gridCol w:w="1151"/>
        <w:gridCol w:w="263"/>
        <w:gridCol w:w="983"/>
        <w:gridCol w:w="112"/>
        <w:gridCol w:w="112"/>
        <w:gridCol w:w="112"/>
        <w:gridCol w:w="112"/>
        <w:gridCol w:w="268"/>
        <w:gridCol w:w="858"/>
        <w:gridCol w:w="112"/>
        <w:gridCol w:w="109"/>
        <w:gridCol w:w="109"/>
        <w:gridCol w:w="109"/>
        <w:gridCol w:w="263"/>
        <w:gridCol w:w="983"/>
        <w:gridCol w:w="109"/>
        <w:gridCol w:w="109"/>
        <w:gridCol w:w="109"/>
        <w:gridCol w:w="109"/>
        <w:gridCol w:w="226"/>
        <w:gridCol w:w="909"/>
        <w:gridCol w:w="157"/>
      </w:tblGrid>
      <w:tr>
        <w:trPr/>
        <w:tc>
          <w:tcPr>
            <w:tcW w:w="167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Six Months Ended June 30,</w:t>
            </w:r>
          </w:p>
        </w:tc>
      </w:tr>
      <w:tr>
        <w:trPr/>
        <w:tc>
          <w:tcPr>
            <w:tcW w:w="3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 except share and per share data)</w:t>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(19,864)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(8,675)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(17,498)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Basic and diluted weighted-average shares outstanding</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33,439,543 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2,277,521 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26,721,021 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2,253,711 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Basic and diluted net loss per share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(0.59)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June 30, 2026, the Company’s stock-based compensation awards could have the most significant impact on diluted shares should the instruments represent dilutive instruments. However, securities that could potentially be dilutive are excluded from the computation of diluted earnings per share when a loss from continuing operations exists or when the exercise price of stock options exceeds the average closing price of the Company’s shares of common stock during the period, because their inclusion would result in an anti-dilutive effect on the per 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0335"/>
                <wp:effectExtent l="0" t="0" r="0" b="0"/>
                <wp:wrapNone/>
                <wp:docPr id="19" name="Frame1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19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amounts were not included in the calculation of net loss per diluted share for the periods presented because their effects were anti-dilutive at the end of each respective periods:</w:t>
      </w:r>
    </w:p>
    <w:tbl>
      <w:tblPr>
        <w:tblW w:w="7207" w:type="dxa"/>
        <w:jc w:val="left"/>
        <w:tblInd w:w="0" w:type="dxa"/>
        <w:tblLayout w:type="fixed"/>
        <w:tblCellMar>
          <w:top w:w="28" w:type="dxa"/>
          <w:left w:w="28" w:type="dxa"/>
          <w:bottom w:w="28" w:type="dxa"/>
          <w:right w:w="28" w:type="dxa"/>
        </w:tblCellMar>
      </w:tblPr>
      <w:tblGrid>
        <w:gridCol w:w="1463"/>
        <w:gridCol w:w="1292"/>
        <w:gridCol w:w="1294"/>
        <w:gridCol w:w="563"/>
        <w:gridCol w:w="563"/>
        <w:gridCol w:w="196"/>
        <w:gridCol w:w="109"/>
        <w:gridCol w:w="109"/>
        <w:gridCol w:w="109"/>
        <w:gridCol w:w="623"/>
        <w:gridCol w:w="623"/>
        <w:gridCol w:w="263"/>
      </w:tblGrid>
      <w:tr>
        <w:trPr/>
        <w:tc>
          <w:tcPr>
            <w:tcW w:w="14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4,713,214 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2,082,695 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Redeemable convertible preferred stock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20,341,968 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4,713,214 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22,424,663 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7" w:name="i3c7cd8d1dbe640b3a98916a6636db051_1543"/>
      <w:bookmarkEnd w:id="7"/>
      <w:r>
        <w:rPr>
          <w:rFonts w:ascii="Trade Gothic;sans-serif" w:hAnsi="Trade Gothic;sans-serif"/>
          <w:b/>
          <w:color w:val="000000"/>
          <w:sz w:val="20"/>
        </w:rPr>
        <w:t xml:space="preserve">Item 2. </w:t>
      </w:r>
      <w:hyperlink w:anchor="ifaf54775e85441fc836f60bc7c4f1464_40">
        <w:r>
          <w:rPr>
            <w:rStyle w:val="InternetLink"/>
            <w:rFonts w:ascii="Trade Gothic;sans-serif" w:hAnsi="Trade Gothic;sans-serif"/>
            <w:b/>
            <w:strike w:val="false"/>
            <w:dstrike w:val="false"/>
            <w:color w:val="000000"/>
            <w:sz w:val="20"/>
            <w:u w:val="none"/>
            <w:effect w:val="none"/>
          </w:rPr>
          <w:t>Management's Discussion and Analysis of Financial Condition and Results of Operations</w:t>
        </w:r>
      </w:hyperlink>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The following management’s discussion and analysis of financial condition and results of operations should be read in conjunction with our unaudited condensed financial statements and the related notes to those statements and other financial information included elsewhere in this Quarterly Report. Our historical results are not necessarily indicative of the results that may be expected for any period in the future.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in the “Risk Factors” section contained in Part II, Item 1A of this Quarterly Report. Please also see the section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Overview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 late-stage biopharmaceutical company dedicated to transforming the treatment paradigm for patients living with chronic eye conditions through long-acting, sustained drug delivery of approved medicines. Our mission is to significantly improve the lives of patients with chronic eye conditions by developing durable drug delivery solutions that can empower patients and surgeons with confidence in long-term disease control and vision preservation.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Bimatoprost Drug Pad-IOL System (BIM-IOL System), comprising novel, proprietary drug pads attached to our intraocular lens (IOL), is designed to be implanted during routine cataract surgery to reduce elevated intraocular pressure (IOP) in patients who have either open-angle glaucoma (OAG) or ocular hypertension (OHT). The BIM-IOL System is designed to consistently deliver three years of bimatoprost, a prostaglandin analog (PGA) approved for topical use by the U.S. Food &amp; Drug Administration (FDA) in 2001 for the reduction of elevated IOP in patients with OAG or OHT. We are also developing a non-IOL-based, ring-shaped, sustained-release implant with bimatoprost, which we believe could be implanted in a standalone procedure, enable retreatment of patients who have received the BIM-IOL System, and offer extended care to patients with OAG or OHT who already received a prior cataract surgery.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our first-in-human (FIH) feasibility clinical trial, evaluable patients who received the BIM-IOL System achieved a mean IOP reduction of 37% at 36 months with no product-related adverse events (AEs). 95% of evaluable patients were off all topical IOP-lowering drops at 36 months, which we believe highlights the potential for long-term independence from such medications. In our Phase 1/2 multicenter, randomized, controlled trial, which is evaluating the safety and efficacy of the BIM-IOL System, patients who received the BIM-IOL System in the 78 mcg and 39 mcg dose groups achieved mean IOP reductions of 37% and 36%, respectively, at three months and sustained similar rates of mean IOP reduction at twelve months. 97% of treated patients were off topical IOP-lowering drops at three and twelve months, and the BIM-IOL System was observed to be well tolerated at both three and twelve months. In July 2025, we initiated two registrational Phase 3 trials with our intended commercial dose of 78 mcg, each expected to enroll approximately 400 patients across 45 sites. We expect to complete enrollment in 2027 and, pending successful Phase 3 results, we plan to submit a 505(b)(2) New Drug Application (NDA) to the FDA in 2028. There is no guarantee that our trials will produce positive results or be consistent with past trial results, and FDA approval is not guaranteed and the regulatory process may take longer than anticipated.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BIM-IOL System is designed to address key limitations of current glaucoma care by enabling all cataract surgeons, not just those trained in minimally invasive glaucoma surgery, or MIGS, to treat elevated IOP when performing their routine cataract procedures, thereby reducing the reliance on patient adherence to topical medications in managing IOP. The BIM-IOL System is designed for long-acting, sustained delivery of bimatoprost over three years, which we believe can reduce or eliminate the need for daily topical medications. In addition, we believe our BIM-IOL System has the potential to triple the number of cataract surgeons who treat OAG or OHT routinely at the time of cataract surgery by providing a solution that seamlessly integrates into the existing procedural workflow. This integration of therapy at the time of cataract surgery – one of the most frequently performed outpatient procedures in ambulatory surgery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0335"/>
                <wp:effectExtent l="0" t="0" r="0" b="0"/>
                <wp:wrapNone/>
                <wp:docPr id="20" name="Frame2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pPr>
      <w:r>
        <w:rPr>
          <w:rFonts w:ascii="Trade Gothic;sans-serif" w:hAnsi="Trade Gothic;sans-serif"/>
          <w:b w:val="false"/>
          <w:color w:val="000000"/>
          <w:sz w:val="19"/>
        </w:rPr>
        <w:t>centers in the United States–</w:t>
      </w:r>
      <w:r>
        <w:rPr>
          <w:rFonts w:ascii="Trade Gothic;sans-serif" w:hAnsi="Trade Gothic;sans-serif"/>
          <w:b w:val="false"/>
          <w:color w:val="000000"/>
          <w:sz w:val="12"/>
        </w:rPr>
        <w:t>1</w:t>
      </w:r>
      <w:r>
        <w:rPr>
          <w:color w:val="000000"/>
        </w:rPr>
        <w:t>–</w:t>
      </w:r>
      <w:r>
        <w:rPr>
          <w:rFonts w:ascii="Trade Gothic;sans-serif" w:hAnsi="Trade Gothic;sans-serif"/>
          <w:b w:val="false"/>
          <w:color w:val="000000"/>
          <w:sz w:val="19"/>
        </w:rPr>
        <w:t>can also save patients from having to make additional appointments with glaucoma specialists.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second system in development is a novel, non-bioerodible, non-IOL-based, ring-shaped, sustained-release implant (Drug Ring System or DRS), which we are initially developing to consistently deliver at least three years of bimatoprost (BIM-DRS). We believe the BIM-DRS could be implanted in a standalone procedure, enable retreatment of patients who had received the BIM-IOL System, and offer extended care for pseudophakic patients (patients who already have artificial IOLs) with OAG or OHT. This system is engineered to be removable and replaceable, potentially allowing for continuous care over a patient’s lifetime. We anticipate initiating enrollment of a single-site FIH trial for the BIM-DRS during the second half of 2026.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Since our inception, we have devoted substantially all of our resources to the research and development of our product candidates by conducting clinical trials and preclinical studies, building our novel drug delivery technology (the SpyGlass Platform), and recruiting management and technical staff to support these operations.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In February 2026, we completed our initial public offering (IPO), in which we issued and sold 10,781,250 shares of our common stock, which includes the exercise in full of the underwriters’ option to purchase 1,406,250 additional shares of our common stock, at a price to the public of $16.00 per share. The aggregate gross proceeds from the offering were $172.5 million, before deducting underwriting discounts and commissions and other offering costs.</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our IPO, we funded our operations primarily through private placements of our common stock and redeemable convertible preferred stock, including the following financings during the periods presented: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May 2025 and June 2025, we issued and sold an aggregate of 5,799,465 shares of our Series D redeemable convertible preferred stock at a purchase price of $13.34 per share for an aggregate purchase price of approximately $77.3 million.</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March 2025, we issued and sold an aggregate of 4,933,589 shares of our Series C-2 redeemable convertible preferred stock at a purchase price of $10.14 per share for an aggregate purchase price of approximately $50.0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not generated any revenue from product sales and we have incurred recurring losses since our inception. Our net losses were $19.9 million and $33.7 million for the three and six months ended June 30, 2026, respectively, and were $8.7 million and $17.5 million for the three and six months ended June 30, 2025, respectively. As of June 30, 2026, we had an accumulated deficit of $138.4 million. We anticipate that our operating expenses and capital expenditures will increase substantially with our ongoing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not generate any revenue from product sales unless and until we successfully complete clinical development and obtain regulatory approval for one or more of our product candidates. If we obtain regulatory approval for any of our product candidates, we expect to incur significant expenses related to developing our internal commercialization capability to support product sales, marketing, and distribution. As a result, we will need substantial additional funding to support our operating activities as we advance our product candidates through clinical development, seek regulatory approval, and prepare for and, if any of our product candidates are approved, proceed to commercialization.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June 30, 2026, we had cash and cash equivalents and short-term investments of $234.2 million. We believe that the net proceeds from our IPO, together with our existing cash and cash equivalents and short-term investments at June 30, 2026, will be sufficient to fund our operating expenses and capital expenditure requirements through 2028. See “Liquidity and Capital Resources.”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Key Trends and Factors Affecting Comparability Between Periods</w:t>
      </w:r>
    </w:p>
    <w:p>
      <w:pPr>
        <w:pStyle w:val="TextBody"/>
        <w:bidi w:val="0"/>
        <w:spacing w:lineRule="auto" w:line="26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We have built out, and are continuing to build out, our research and development team, and our research and development costs increased in 2026, relative to 2025, and we expect our research and development costs to </w:t>
      </w:r>
    </w:p>
    <w:p>
      <w:pPr>
        <w:pStyle w:val="TextBody"/>
        <w:bidi w:val="0"/>
        <w:spacing w:lineRule="auto" w:line="288" w:before="0" w:after="0"/>
        <w:jc w:val="left"/>
        <w:rPr/>
      </w:pPr>
      <w:r>
        <w:rPr>
          <w:rFonts w:ascii="Trade Gothic;sans-serif" w:hAnsi="Trade Gothic;sans-serif"/>
          <w:b w:val="false"/>
          <w:color w:val="000000"/>
          <w:sz w:val="11"/>
        </w:rPr>
        <w:t>1</w:t>
      </w:r>
      <w:r>
        <w:rPr>
          <w:color w:val="000000"/>
        </w:rPr>
        <w:t xml:space="preserve">     </w:t>
      </w:r>
      <w:r>
        <w:rPr>
          <w:rFonts w:ascii="Trade Gothic;sans-serif" w:hAnsi="Trade Gothic;sans-serif"/>
          <w:b w:val="false"/>
          <w:color w:val="000000"/>
          <w:sz w:val="17"/>
        </w:rPr>
        <w:t>Based on 2025 data taken from DefinitiveHealthcare.com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0335"/>
                <wp:effectExtent l="0" t="0" r="0" b="0"/>
                <wp:wrapNone/>
                <wp:docPr id="21" name="Frame2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68" w:before="0" w:after="100"/>
        <w:jc w:val="left"/>
        <w:rPr>
          <w:rFonts w:ascii="Trade Gothic;sans-serif" w:hAnsi="Trade Gothic;sans-serif"/>
          <w:b w:val="false"/>
          <w:color w:val="000000"/>
          <w:sz w:val="19"/>
        </w:rPr>
      </w:pPr>
      <w:r>
        <w:rPr>
          <w:rFonts w:ascii="Trade Gothic;sans-serif" w:hAnsi="Trade Gothic;sans-serif"/>
          <w:b w:val="false"/>
          <w:color w:val="000000"/>
          <w:sz w:val="19"/>
        </w:rPr>
        <w:t>continue to increase in 2026, relative to 2025, as a result of significant expenses related to the continued enrollment in our Phase 3 trials. See Part I, Item I (Business) of our Annual Report on Form 10-K for the year ended December 31, 2025 for more information about the Phase 1/2 and Phase 3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expect that general and administrative costs will increase in the future as we expand our commercial operating activities.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As a public company, our expenses will increase from prior years as a privately held company, including (i) costs to comply with the rules and regulations of the U.S. Securities and Exchange Commission (SEC) and those of The Nasdaq Stock Market (Nasdaq), (ii) legal, accounting and other professional services, (iii) directors and officers insurance, (iv) investor relations activities, and (v) other administrative and professional services.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University of Colorado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2020, we entered into a license agreement (as amended, the License Agreement) with the Regents of the University of Colorado (CU), pursuant to which we obtained an exclusive, royalty-bearing, sublicensable, worldwide license under a patent application co-owned by CU and us relating to an intraocular drug dispenser and all patents claiming priority to such patent to develop, manufacture, and commercialize products for use in the treatment of various ophthalmic diseases. We have the right to grant sublicenses to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consideration for the rights granted by the License Agreement, we paid a one-time, non-refundable $0.1 million license fee in conjunction with the second amendment to the License Agreement on March 22, 2023, which was recorded as a research and development expense. We are also required to reimburse CU for costs incurred in applying and maintaining patents, which are recorded as research and development expense as incurred.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License Agreement, we are required to pay to CU an annual fee of $0.1 million, which is expensed to research and development. We are also required to pay to CU certain contingent milestone payments of up to $1.1 million for each of the first two licensed products under the License Agreement that achieve certain development and commercialization milestones. The future contingent payments required to be made prior to FDA approval (or equivalent) are considered contingent upon future research and development outcomes and will be expensed to research and development when issuable. If milestones are achieved, the milestone related to FDA approval and any subsequent milestone payments will be capitalized. In addition, upon commercialization of a licensed product as contemplated by the License Agreement, we will be required to pay low single digit royalty payments to CU (as provided in the License Agreement), subject to customary restrictions, which payments are considered contingent consideration and should be recorded when probable or estimable; we will also be required to pay to CU a percentage in the mid-twenties of any sublicense income.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a more detailed description of the License Agreement, see the section titled “Exclusive License Agreement with the Regents of the University of Colorado” in Part I, Item 1 (Business)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Basis of Presentation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balance sheets and condensed statements of operations and comprehensive loss presented herein. The following discussion and analysis are based on our unaudited condensed financial statements contained in this Quarterly Report, which we have prepared in accordance with U.S. generally accepted accounting principles (GAAP). You should read the discussion and analysis together with such unaudited condensed financial statements and the related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Components of Statements of Operations and Comprehensive Loss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Operating Expenses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Research and Development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 expenses, which consist primarily of costs associated with our product research and development efforts, are expensed as incurred. Research and development expenses consist primarily of: (i) employee related costs, including salaries, benefits and stock-based compensation expense for employees engaged in research and development activities; (ii) third-party contract costs relating to research, formulation, manufacturing, nonclinical studies and clinical trial activities; (iii) external costs of outside consultants who assist with technology development, regulatory affairs, clinical development and quality assurance; and (iv) allocated facility-related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0335"/>
                <wp:effectExtent l="0" t="0" r="0" b="0"/>
                <wp:wrapNone/>
                <wp:docPr id="22" name="Frame2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General and Administrative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 expenses consist primarily of salaries and related benefits, including stock-based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general and administrative expenses will increase in the future as we expand our pre-commercial operating activities. Additionally, we expect to incur significant additional expenses associated with being a public company that we did not incur as a privately-held company, including (i) costs to comply with the rules and regulations of the SEC and those of Nasdaq, (ii) legal, accounting and other professional services, (iii) directors and officers insurance, (iv) investor relations activities, and (v) other administrative and professional services.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Redeemable Convertible Preferred Stock Tranche Liability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determined the right of investors to purchase shares of Series C-2 redeemable convertible preferred stock at a future date met the definition of a freestanding instrument as the instrument is legally detachable and separately exercisable (the “Redeemable Convertible Preferred Stock Tranche Liability”) from the concurrently issued shares of Series C-1 redeemable convertible preferred stock. The Redeemable Convertible Preferred Stock Tranche Liability was subject to remeasurement at each balance sheet date, with changes in fair value recognized in other income (expenses) in the condensed statement of operations and comprehensive loss. Upon the closing of the Series C-2 redeemable convertible preferred stock tranche financing in March 2025, the Redeemable Convertible Preferred Stock Tranche Liability was settled.</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Other Income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income (expense) consists of interest income earned on cash and cash equivalents and short-term investments income and changes in fair value to the Redeemable Convertible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Results of Operations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Comparison of the Three Months Ended June 30, 2026 and 2025</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presents the results of operations for the periods indicated:</w:t>
      </w:r>
    </w:p>
    <w:tbl>
      <w:tblPr>
        <w:tblW w:w="10014" w:type="dxa"/>
        <w:jc w:val="left"/>
        <w:tblInd w:w="0" w:type="dxa"/>
        <w:tblLayout w:type="fixed"/>
        <w:tblCellMar>
          <w:top w:w="28" w:type="dxa"/>
          <w:left w:w="28" w:type="dxa"/>
          <w:bottom w:w="28" w:type="dxa"/>
          <w:right w:w="28" w:type="dxa"/>
        </w:tblCellMar>
      </w:tblPr>
      <w:tblGrid>
        <w:gridCol w:w="1212"/>
        <w:gridCol w:w="1063"/>
        <w:gridCol w:w="1069"/>
        <w:gridCol w:w="300"/>
        <w:gridCol w:w="1217"/>
        <w:gridCol w:w="144"/>
        <w:gridCol w:w="144"/>
        <w:gridCol w:w="144"/>
        <w:gridCol w:w="144"/>
        <w:gridCol w:w="300"/>
        <w:gridCol w:w="1058"/>
        <w:gridCol w:w="144"/>
        <w:gridCol w:w="109"/>
        <w:gridCol w:w="109"/>
        <w:gridCol w:w="109"/>
        <w:gridCol w:w="226"/>
        <w:gridCol w:w="916"/>
        <w:gridCol w:w="109"/>
        <w:gridCol w:w="109"/>
        <w:gridCol w:w="109"/>
        <w:gridCol w:w="109"/>
        <w:gridCol w:w="263"/>
        <w:gridCol w:w="263"/>
        <w:gridCol w:w="64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For the 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 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expenses</w:t>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Research and development</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10,942 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7,333 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49 </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General and administrative</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11,025 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1,964 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461 </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Total operating expenses</w:t>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21,967 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9,297 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12,670 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136 </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Loss from operations</w:t>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(21,967)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(9,297)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(12,670)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136 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income</w:t>
            </w:r>
          </w:p>
        </w:tc>
        <w:tc>
          <w:tcPr>
            <w:tcW w:w="1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Interest income</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2,103 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238 </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Total other income</w:t>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2,103 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622 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238 </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Loss before income tax</w:t>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(19,864)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(8,675)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(11,189)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129 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provision</w:t>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N/M</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(19,864)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(8,675)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(11,189)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129 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3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Research and Development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 expenses were $10.9 million for the three months ended June 30, 2026, an increase of $3.6 million, or 49%, from $7.3 million for the three months ended June 30, 2025. As it relates to the BIM-IOL System, there was an increase of $0.5 million in IOL and drug supply offset by a decrease of $0.6 million in contract research expenses related to the FIH feasibility and Phase 1/2 clinical trials. An additional $3.7 million increase was due to headcount and related expenses. Expenditures related to our BIM-IOL program represented substantially all of our research and development expenses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0335"/>
                <wp:effectExtent l="0" t="0" r="0" b="0"/>
                <wp:wrapNone/>
                <wp:docPr id="23" name="Frame2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General and Administrative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 expenses were $11.0 million for the three months ended June 30, 2026, an increase of $9.0 million, or 461%, from $2.0 million for the three months ended June 30, 2025. The increase was primarily driven by a $2.1 million increase in headcount and related headcount expenses, inclusive of facility and travel expenses, and a $6.9 million increase in legal and other professional services.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Other Income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income was $2.1 million for the three months ended June 30, 2026, an increase of $1.5 million, or 238%, from $0.6 million in other expenses, net for the three months ended June 30, 2025. The increase was primarily driven by a $1.5 million increase in interest from our cash and cash equivalents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Comparison of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9"/>
        <w:gridCol w:w="1226"/>
        <w:gridCol w:w="1215"/>
        <w:gridCol w:w="242"/>
        <w:gridCol w:w="939"/>
        <w:gridCol w:w="116"/>
        <w:gridCol w:w="116"/>
        <w:gridCol w:w="116"/>
        <w:gridCol w:w="116"/>
        <w:gridCol w:w="242"/>
        <w:gridCol w:w="939"/>
        <w:gridCol w:w="116"/>
        <w:gridCol w:w="109"/>
        <w:gridCol w:w="109"/>
        <w:gridCol w:w="109"/>
        <w:gridCol w:w="226"/>
        <w:gridCol w:w="870"/>
        <w:gridCol w:w="109"/>
        <w:gridCol w:w="109"/>
        <w:gridCol w:w="109"/>
        <w:gridCol w:w="109"/>
        <w:gridCol w:w="284"/>
        <w:gridCol w:w="285"/>
        <w:gridCol w:w="655"/>
      </w:tblGrid>
      <w:tr>
        <w:trPr/>
        <w:tc>
          <w:tcPr>
            <w:tcW w:w="173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4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For the 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16"/>
              </w:rPr>
            </w:pPr>
            <w:r>
              <w:rPr>
                <w:rFonts w:ascii="Trade Gothic;sans-serif" w:hAnsi="Trade Gothic;sans-serif"/>
                <w:b/>
                <w:color w:val="000000"/>
                <w:sz w:val="16"/>
              </w:rPr>
              <w:t>% Change</w:t>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expenses</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Research and development</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19,484 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13,385 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General and administrative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17,892 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3,335 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436 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Total operating expenses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37,376 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16,720 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20,656 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124 </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Loss from operations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(37,376)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(16,720)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(20,656)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124 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Other income (expense)</w:t>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Interest income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3,694 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394 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Change in fair value of redeemable convertible preferred stock tranche liability</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rade Gothic;sans-serif" w:hAnsi="Trade Gothic;sans-serif"/>
                <w:b w:val="false"/>
                <w:color w:val="000000"/>
                <w:sz w:val="19"/>
              </w:rPr>
              <w:t>Total other income (expense)</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3,694 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(778)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4,472 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(575)</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Loss before income tax</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(33,682)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(17,498)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(16,184)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92 </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Income tax provision</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N/M</w:t>
            </w:r>
          </w:p>
        </w:tc>
      </w:tr>
      <w:tr>
        <w:trPr/>
        <w:tc>
          <w:tcPr>
            <w:tcW w:w="4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Net loss and comprehensive loss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(33,682)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(17,498)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(16,184)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92 </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4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Research and Development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Research and development expenses were $19.5 million for the six months ended June 30, 2026, an increase of $6.1 million, or 46%, from $13.4 million for the six months ended June 30, 2025. As it relates to the BIM-IOL System, there was an increase of $1.4 million in IOL and drug supply offset by a decrease of $1.5 million in contract research expenses related to the FIH feasibility and Phase 1/2 clinical trials. An additional $6.2 million increase was due to headcount and related expenses. Expenditures related to our BIM-IOL program represented substantially all of our research and development expenses during the periods presented.</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General and Administrative Expenses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General and administrative expenses were $17.9 million for the six months ended June 30, 2026, an increase of $14.6 million, or 436%, from $3.3 million for the six months ended June 30, 2025. The increase was primarily driven by a $4.0 million increase in headcount and related headcount expenses, inclusive of facility and travel expenses, and a $10.6 million increase in legal and other professional services.</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Other Income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Other income, net was $3.7 million for the six months ended June 30, 2026, an increase of $4.5 million, or (575)%, from $0.8 million in other expenses, net for the six months ended June 30, 2025. The increase was primarily driven by a $3.0 million increase in interest from our cash and cash equivalents and short-term investments and a $1.5 million decrease in the loss from the change in fair value of Redeemable Convertible Preferred Stock Tranche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Liquidity and Capital Resources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have incurred net losses in each year since inception and, as of June 30, 2026, we had an accumulated deficit of $138.4 million. Our net losses were $19.9 million and $33.7 million for the three and six months ended June 30, 2026, respectively, and were $8.7 million and $17.5 million for the three and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0335"/>
                <wp:effectExtent l="0" t="0" r="0" b="0"/>
                <wp:wrapNone/>
                <wp:docPr id="24" name="Frame2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respectively. These losses have resulted principally from costs incurred in connection with research and development of our product candidates by conducting preclinical studies and clinical trials, building the SpyGlass Platform, and recruiting management and technical staff to support these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February 2026, we completed our IPO, in which we issued and sold 10,781,250 shares of our common stock, which includes the exercise in full of the underwriters’ option to purchase 1,406,250 additional shares of our common stock, at a price to the public of $16.00 per share. The aggregate gross proceeds from the offering were $172.5 million, before deducting underwriting discounts and commissions and other offering costs.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Prior to our IPO, we funded our operations primarily through private placements of our common stock and redeemable convertible preferred stock, including the following financings during the periods presented:</w:t>
      </w:r>
    </w:p>
    <w:p>
      <w:pPr>
        <w:pStyle w:val="TextBody"/>
        <w:bidi w:val="0"/>
        <w:spacing w:before="0" w:after="0"/>
        <w:jc w:val="left"/>
        <w:rPr/>
      </w:pPr>
      <w:r>
        <w:rPr/>
      </w:r>
    </w:p>
    <w:p>
      <w:pPr>
        <w:pStyle w:val="TextBody"/>
        <w:bidi w:val="0"/>
        <w:spacing w:lineRule="auto" w:line="288" w:before="0" w:after="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May 2025 and June 2025, we issued and sold an aggregate of 5,799,465 shares of our Series D redeemable convertible preferred stock at a purchase price of $13.34 per share for an aggregate purchase price of approximately $77.3 million.</w:t>
      </w:r>
    </w:p>
    <w:p>
      <w:pPr>
        <w:pStyle w:val="TextBody"/>
        <w:bidi w:val="0"/>
        <w:spacing w:lineRule="auto" w:line="288" w:before="0" w:after="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 March 2025, we issued and sold an aggregate of 4,933,589 shares of our Series C-2 redeemable convertible preferred stock at a purchase price of $10.14 per share for an aggregate purchase price of approximately $50.0 million.</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to incur significant and increasing expenses and operating losses for the foreseeable future due to the cost of research and development, regulatory prosecution for our product candidates, and building our commercial infrastructure, if products are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inception through June 30, 2026, we have received funding gross proceeds of $0.7 million from our initial seed financing, $6.0 million from the sale of Series A redeemable convertible preferred stock, $27.5 million from the sale of Series B redeemable convertible preferred stock, $40.0 million from the sale of Series C-1 redeemable convertible preferred stock, $50.0 million from the sale of Series C-2 redeemable convertible preferred stock, $77.3 million from the sale of Series D redeemable convertible preferred stock, and $172.5 million from the sale of common stock in our IPO.</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Cash Flows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table summarizes our cash flows for the periods presented:</w:t>
      </w:r>
    </w:p>
    <w:tbl>
      <w:tblPr>
        <w:tblW w:w="7631" w:type="dxa"/>
        <w:jc w:val="left"/>
        <w:tblInd w:w="0" w:type="dxa"/>
        <w:tblLayout w:type="fixed"/>
        <w:tblCellMar>
          <w:top w:w="28" w:type="dxa"/>
          <w:left w:w="28" w:type="dxa"/>
          <w:bottom w:w="28" w:type="dxa"/>
          <w:right w:w="28" w:type="dxa"/>
        </w:tblCellMar>
      </w:tblPr>
      <w:tblGrid>
        <w:gridCol w:w="1533"/>
        <w:gridCol w:w="1345"/>
        <w:gridCol w:w="1351"/>
        <w:gridCol w:w="262"/>
        <w:gridCol w:w="1098"/>
        <w:gridCol w:w="126"/>
        <w:gridCol w:w="126"/>
        <w:gridCol w:w="126"/>
        <w:gridCol w:w="126"/>
        <w:gridCol w:w="262"/>
        <w:gridCol w:w="1098"/>
        <w:gridCol w:w="178"/>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For the Six Months Ended June 30,</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i/>
                <w:color w:val="000000"/>
                <w:sz w:val="16"/>
              </w:rPr>
            </w:pPr>
            <w:r>
              <w:rPr>
                <w:rFonts w:ascii="Trade Gothic;sans-serif" w:hAnsi="Trade Gothic;sans-serif"/>
                <w:b w:val="false"/>
                <w:i/>
                <w:color w:val="000000"/>
                <w:sz w:val="16"/>
              </w:rPr>
              <w:t>(in thousands)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rade Gothic;sans-serif" w:hAnsi="Trade Gothic;sans-serif"/>
                <w:b/>
                <w:color w:val="000000"/>
                <w:sz w:val="16"/>
              </w:rPr>
            </w:pPr>
            <w:r>
              <w:rPr>
                <w:rFonts w:ascii="Trade Gothic;sans-serif" w:hAnsi="Trade Gothic;sans-serif"/>
                <w:b/>
                <w:color w:val="000000"/>
                <w:sz w:val="16"/>
              </w:rPr>
              <w:t>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cash (used in) provided by:</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Operating activities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(28,383)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(14,526)</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Investing activities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9"/>
              </w:rPr>
            </w:pPr>
            <w:r>
              <w:rPr>
                <w:rFonts w:ascii="Trade Gothic;sans-serif" w:hAnsi="Trade Gothic;sans-serif"/>
                <w:b w:val="false"/>
                <w:color w:val="000000"/>
                <w:sz w:val="19"/>
              </w:rPr>
              <w:t>(2,600)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(216)</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Financing activities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157,768 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125,709 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Net increase in cash and cash equivalents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126,785 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110,967 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Used in Operating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net cash used in operating activities primarily results from our net loss adjusted for non-cash expenses, changes in working capital components, amounts due to contract research organizations and clinical sites to conduct our clinical programs, manufacturing of drug product and employee-related expenditures for research and development and general and administrative activities. Our cash flows from operating activities will continue to be affected by spending to develop and pursue regulatory approval for our product candidates and commercialization activities, if approval is obtained. Our cash flows will also be affected by other operating and general administrative activities, including operating as a public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the six months ended June 30, 2026, cash used in operating activities was $28.4 million and resulted from our net loss of $33.7 million, offset by adjustments to reconcile net loss to cash and changes in assets and liabilities of $5.3 million.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the six months ended June 30, 2025, cash used in operating activities was $14.5 million and resulted from our net loss of $17.5 million, offset by adjustments to reconcile net loss to cash and changes in assets and liabilities of $3.0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0335"/>
                <wp:effectExtent l="0" t="0" r="0" b="0"/>
                <wp:wrapNone/>
                <wp:docPr id="25" name="Frame2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Used in Investing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used in investing activities for the six months ended June 30, 2026 was $2.6 million and primarily related to the purchase of $11.0 million of short-term investments and $2.6 million of property and equipment, offset by the redemption of $11.0 million of short-term investments.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used in investing activities for the six months ended June 30, 2025 was $0.2 million and primarily related to the purchase of $0.2 million of property and equipment.</w:t>
      </w:r>
    </w:p>
    <w:p>
      <w:pPr>
        <w:pStyle w:val="TextBody"/>
        <w:bidi w:val="0"/>
        <w:spacing w:lineRule="auto" w:line="288" w:before="80" w:after="40"/>
        <w:jc w:val="left"/>
        <w:rPr>
          <w:rFonts w:ascii="Trade Gothic;sans-serif" w:hAnsi="Trade Gothic;sans-serif"/>
          <w:b w:val="false"/>
          <w:i/>
          <w:color w:val="000000"/>
          <w:sz w:val="19"/>
        </w:rPr>
      </w:pPr>
      <w:r>
        <w:rPr>
          <w:rFonts w:ascii="Trade Gothic;sans-serif" w:hAnsi="Trade Gothic;sans-serif"/>
          <w:b w:val="false"/>
          <w:i/>
          <w:color w:val="000000"/>
          <w:sz w:val="19"/>
        </w:rPr>
        <w:t>Net Cash Provided by Financing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provided by financing activities for the six months ended June 30, 2026 was $157.8 million and primarily related to $157.7 million in net cash proceeds from our IPO and proceeds of $0.1 million from the exercise of stock options.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Cash provided by financing activities for the six months ended June 30, 2025 was $125.7 million and primarily related to $50.0 million in net cash proceeds from the sale of our Series C-2 redeemable convertible preferred stock, $77.1 million in net cash proceeds from the sale of our Series D redeemable convertible preferred stock, and proceeds of $0.1 million from the exercise of stock options, offset by the repurchase of common stock of $1.5 million.</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Future Funding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that the net proceeds from our IPO, together with our existing cash and cash equivalents and short-term investments at June 30, 2026, will be sufficient to fund our operating expenses and capital expenditure requirements through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expend our capital resources sooner than we currently expect.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need substantial additional capital to develop our product candidates and fund operations for the foreseeable future. Our future capital requirements will depend on many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timing, rate of progress, and costs of our clinical trials for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number and scope of clinical programs we decide to pursue;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timing, and outcome of preparing for and undergoing regulatory review of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and timing of manufacturing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of preparing, filing, and prosecuting patent applications, maintaining and enforcing our intellectual property rights, and defending intellectual property-related claims;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terms and timing of establishing and maintaining collaborations, licenses, and other similar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any milestone and royalty payments to our existing or future suppliers, collaborators, or licensors;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efforts to enhance operational systems and our ability to attract, hire, and retain qualified personnel, including personnel to support the development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associated with operating as a public company;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acquire or in-license other product candidates and technologies;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enter into licensing or collaboration arrangements for any of our programs;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and timing of future commercialization activities, including manufacturing, marketing, sales, and distribution of our product candidates, if they receive marketing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Until such time as we can generate significant revenue from sales of our product candidates, if ever,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may be diluted, and the terms of these securities may include liquidation or other preferences and anti-dilution protections that could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which could adversely impact our ability to conduct our business,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0335"/>
                <wp:effectExtent l="0" t="0" r="0" b="0"/>
                <wp:wrapNone/>
                <wp:docPr id="26" name="Frame2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require the issuance of warrants, which could potentially dilute the ownership interests of our stockholders. If we raise funds through collaborations, or other similar arrangements with third parties, we may have to relinquish valuable rights to our technologies, future revenue streams, research programs, or product candidates or may have to grant licenses on terms that may not be favorable to us and/or may reduce the value of our common stock.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Material Cash Requirements from Contractual Obligations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entered into two leases for 22,592 square feet of office and lab space in Aliso Viejo, California pursuant to a lease that expired on July 31, 2026. We have entered into a lease for a new headquarters in Irvine, California consisting of approximately 32,621 rentable square feet of office and laboratory space for a term of approximately 84 months contractually commencing on July 1, 2026. See “Note 7 - Commitments and Contingencies” to our financial statements included in our Annual Report on Form 10-K for the year ended December 31, 2025 for details related to future lease payments.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“Overview — University of Colorado License Agreement” above for a description of the License Agreement and our obligations thereunder.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we have contracts with various organizations to conduct research and development activities, including clinical trial organizations to manage clinical trial activities and manufacturing companies to manufacture the drug product used in the clinical trials. We can modify the scope of the services under these research and development contracts and cancel these upon written notice. In the event of a cancellation, we would be liable for the cost and expenses incurred to date as well as any close out costs of the service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Critical Accounting Estimates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financial statements are prepared in accordance with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For a discussion of our critical accounting policies and estimates, see Part II, Item 7, “Management's Discussion and Analysis of Financial Condition and Results of Operations - Critical Accounting Estimates,” in our Annual Report on Form 10-K for the year ended December 31, 2025. There have been no material changes to the critical accounting policies and estimates previously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Recent Accounting Pronouncements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See “Note 2 - Summary of Significant Accounting Policies” to our unaudited condensed financial statements included elsewhere in this Quarterly Report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Emerging Growth Company and Smaller Reporting Company Status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an emerging growth company, as defined in the JOBS Act, and we may remain an emerging growth company for up to five years following the closing of our IPO. For so long as we remain an emerging growth company, we are permitted and intend to rely on certain exemptions from various public company disclosure and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Under the JOBS Act, emerging growth companies can delay adopting new or revised accounting standards issued subsequent to the enactment of the JOBS Act until such time as those standards apply to private companies. We may take advantage of these provisions so long as we remain an emerging growth company until the earlier of (i) the last day of the fiscal year (a) following the fifth anniversary of the closing of our IPO, (b) in which we have total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0335"/>
                <wp:effectExtent l="0" t="0" r="0" b="0"/>
                <wp:wrapNone/>
                <wp:docPr id="27" name="Frame2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gross revenue of at least $1.235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also a “smaller reporting company.”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8" w:name="ifbdbcd37c16d4b779908ba97fc01e9b0_728"/>
      <w:bookmarkEnd w:id="8"/>
      <w:r>
        <w:rPr>
          <w:rFonts w:ascii="Trade Gothic;sans-serif" w:hAnsi="Trade Gothic;sans-serif"/>
          <w:b/>
          <w:color w:val="000000"/>
          <w:sz w:val="20"/>
        </w:rPr>
        <w:t xml:space="preserve">Item 3. </w:t>
      </w:r>
      <w:hyperlink w:anchor="ifaf54775e85441fc836f60bc7c4f1464_70">
        <w:r>
          <w:rPr>
            <w:rStyle w:val="InternetLink"/>
            <w:rFonts w:ascii="Trade Gothic;sans-serif" w:hAnsi="Trade Gothic;sans-serif"/>
            <w:b/>
            <w:strike w:val="false"/>
            <w:dstrike w:val="false"/>
            <w:color w:val="000000"/>
            <w:sz w:val="20"/>
            <w:u w:val="none"/>
            <w:effect w:val="none"/>
          </w:rPr>
          <w:t>Quantitative and Qualitative Disclosures About Market Risk</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 smaller reporting company, as defined by Rule 12b-2 under the Exchange Act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9" w:name="i87a57abdce734c118e96a1a582a4bd97_21016"/>
      <w:bookmarkEnd w:id="9"/>
      <w:r>
        <w:rPr>
          <w:rFonts w:ascii="Trade Gothic;sans-serif" w:hAnsi="Trade Gothic;sans-serif"/>
          <w:b/>
          <w:color w:val="000000"/>
          <w:sz w:val="20"/>
        </w:rPr>
        <w:t xml:space="preserve">Item 4. </w:t>
      </w:r>
      <w:hyperlink w:anchor="ifaf54775e85441fc836f60bc7c4f1464_136">
        <w:r>
          <w:rPr>
            <w:rStyle w:val="InternetLink"/>
            <w:rFonts w:ascii="Trade Gothic;sans-serif" w:hAnsi="Trade Gothic;sans-serif"/>
            <w:b/>
            <w:strike w:val="false"/>
            <w:dstrike w:val="false"/>
            <w:color w:val="000000"/>
            <w:sz w:val="20"/>
            <w:u w:val="none"/>
            <w:effect w:val="none"/>
          </w:rPr>
          <w:t>Controls and Procedures</w:t>
        </w:r>
      </w:hyperlink>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Evaluation of Disclosure Controls and Procedures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not effective at a reasonable assurance level as of June 30, 2026 because of the material weakness in internal controls further discussed below.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preparation of our financial statements for the three and six months ended June 30, 2026 and the year ended December 31, 2025,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the annual or interim financial statements will not be prevented or detected on a timely basis. If one or more material weaknesses persist or if we fail to establish and maintain effective internal control over financial reporting, our ability to accurately report our financial results could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material weakness that we identified was attributable to control deficiencies related to an insufficient complement of personnel with an appropriate level of technical knowledge for oversight of specialists and to create the proper environment for effective internal control over financial reporting, the lack of an effective risk assessment process, the lack of formalized processes and control activities to support the appropriate segregation of duties over the review of account reconciliations and journal entries, and the lack of monitoring and communication of control processes and relevant accounting policies and procedures. Management has and is taking steps to remediate the material weakness in our internal control over financial reporting, including hiring additional accounting personnel to assume transaction level responsibilities to appropriately segregate duties between preparers and reviewers, instituting an effective risk assessment process, and formalizing a framework for control activities to support appropriate segregation of duties.</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Changes in Internal Control over Financial Reporting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During the period covered by this Quarterly Report, management continued to implement measures designed to remediate the previously identified material weakness in our internal control over financial reporting. These measures included hiring additional accounting personnel to assume transaction-level responsibilities and enhance the segregation of duties between preparers and reviewers, implementing a formal risk assessment process, and formalizing a framework for control activities designed to support appropriate segregation of duties.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0335"/>
                <wp:effectExtent l="0" t="0" r="0" b="0"/>
                <wp:wrapNone/>
                <wp:docPr id="28" name="Frame2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These changes have materially affected, or are reasonably likely to materially affect, our internal control over financial reporting. However, the material weakness will not be considered remediated until the applicable controls have been fully implemented, have operated for a sufficient period of time, and management has concluded, through testing, that the controls are designed and operating effectively.</w:t>
      </w:r>
    </w:p>
    <w:p>
      <w:pPr>
        <w:pStyle w:val="TextBody"/>
        <w:bidi w:val="0"/>
        <w:spacing w:before="0" w:after="0"/>
        <w:jc w:val="left"/>
        <w:rPr/>
      </w:pPr>
      <w:r>
        <w:rPr/>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Except for the remediation activities described above, there were no changes in our internal control over financial reporting during the period covered by this Quarterly Report that materially affected, or are reasonably likely to materially affect, our internal control over financial reporting (as defined in Rules 13a-15(f) and 15d-15(f) of the Exchange Act).</w:t>
      </w:r>
    </w:p>
    <w:p>
      <w:pPr>
        <w:pStyle w:val="TextBody"/>
        <w:bidi w:val="0"/>
        <w:spacing w:lineRule="auto" w:line="288" w:before="80" w:after="40"/>
        <w:jc w:val="left"/>
        <w:rPr>
          <w:rFonts w:ascii="Trade Gothic;sans-serif" w:hAnsi="Trade Gothic;sans-serif"/>
          <w:b/>
          <w:i/>
          <w:color w:val="000000"/>
          <w:sz w:val="19"/>
        </w:rPr>
      </w:pPr>
      <w:r>
        <w:rPr>
          <w:rFonts w:ascii="Trade Gothic;sans-serif" w:hAnsi="Trade Gothic;sans-serif"/>
          <w:b/>
          <w:i/>
          <w:color w:val="000000"/>
          <w:sz w:val="19"/>
        </w:rPr>
        <w:t>Limitations on Effectiveness of Controls and Procedures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rade Gothic;sans-serif" w:hAnsi="Trade Gothic;sans-serif"/>
          <w:b/>
          <w:color w:val="000000"/>
          <w:sz w:val="20"/>
        </w:rPr>
      </w:pPr>
      <w:bookmarkStart w:id="10" w:name="i651006a129164269bab0c6105e75e3ba_3335"/>
      <w:bookmarkEnd w:id="10"/>
      <w:r>
        <w:rPr>
          <w:rFonts w:ascii="Trade Gothic;sans-serif" w:hAnsi="Trade Gothic;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1" w:name="i5625c0a9db8343f8a17f1cbb2988fba5_3548"/>
      <w:bookmarkEnd w:id="11"/>
      <w:r>
        <w:rPr>
          <w:rFonts w:ascii="Trade Gothic;sans-serif" w:hAnsi="Trade Gothic;sans-serif"/>
          <w:b/>
          <w:color w:val="000000"/>
          <w:sz w:val="20"/>
        </w:rPr>
        <w:t>Item 1. Legal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information required by Item 103 of Regulation S-K is included in “Part I - Item 1. Financial Statements - Note 7 -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12" w:name="iea8c81aa6a1f4571b3eb52fdcc924823_450014"/>
      <w:bookmarkEnd w:id="12"/>
      <w:r>
        <w:rPr>
          <w:rFonts w:ascii="Trade Gothic;sans-serif" w:hAnsi="Trade Gothic;sans-serif"/>
          <w:b/>
          <w:color w:val="000000"/>
          <w:sz w:val="20"/>
        </w:rPr>
        <w:t xml:space="preserve">Item 1A. </w:t>
      </w:r>
      <w:hyperlink w:anchor="ifaf54775e85441fc836f60bc7c4f1464_16">
        <w:r>
          <w:rPr>
            <w:rStyle w:val="InternetLink"/>
            <w:rFonts w:ascii="Trade Gothic;sans-serif" w:hAnsi="Trade Gothic;sans-serif"/>
            <w:b/>
            <w:strike w:val="false"/>
            <w:dstrike w:val="false"/>
            <w:color w:val="000000"/>
            <w:sz w:val="20"/>
            <w:u w:val="none"/>
            <w:effect w:val="none"/>
          </w:rPr>
          <w:t>Risk Factors</w:t>
        </w:r>
      </w:hyperlink>
    </w:p>
    <w:p>
      <w:pPr>
        <w:pStyle w:val="TextBody"/>
        <w:bidi w:val="0"/>
        <w:spacing w:lineRule="auto" w:line="288" w:before="0" w:after="240"/>
        <w:jc w:val="left"/>
        <w:rPr>
          <w:rFonts w:ascii="Trade Gothic;sans-serif" w:hAnsi="Trade Gothic;sans-serif"/>
          <w:b w:val="false"/>
          <w:i/>
          <w:color w:val="000000"/>
          <w:sz w:val="19"/>
        </w:rPr>
      </w:pPr>
      <w:r>
        <w:rPr>
          <w:rFonts w:ascii="Trade Gothic;sans-serif" w:hAnsi="Trade Gothic;sans-serif"/>
          <w:b w:val="false"/>
          <w:i/>
          <w:color w:val="000000"/>
          <w:sz w:val="19"/>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 Factors Summary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Limited Operating History, Our Business and Our Industry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are a late-stage biopharmaceutical company with a limited operating history in developing drug delivery systems and have no products approved for commercial sale, which may make it difficult for you to evaluate our current business and predict our future success and viability.</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have incurred significant losses and negative cash flows from operations since our formation, and we anticipate that we will continue to incur significant losses for the foreseeable future and may never achieve or maintain profitability.</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are substantially dependent on the success of our lead product candidate, our BIM-IOL System, which is currently in clinical trials. If we are unable to complete development of, obtain approval for and commercialize our BIM-IOL System in a timely manner our business will be harmed. We currently generate no revenues from sales of any products and may never generate revenue or be profitable.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Even if the BIM-IOL System or any other product candidate, such as the BIM-DRS, receives marketing approval, such product candidate may fail to achieve market acceptance by surgeons, patients and others in the medical community, and the market opportunity for these product candidates, if approved, may be smaller than we estimate.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We face significant competition, and if our competitors develop and market technologies or products more rapidly than we do or that are more effective, safer or less expensive than the product candidates we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0335"/>
                <wp:effectExtent l="0" t="0" r="0" b="0"/>
                <wp:wrapNone/>
                <wp:docPr id="29" name="Frame2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29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jc w:val="left"/>
        <w:rPr>
          <w:rFonts w:ascii="Trade Gothic;sans-serif" w:hAnsi="Trade Gothic;sans-serif"/>
          <w:b w:val="false"/>
          <w:color w:val="000000"/>
          <w:sz w:val="19"/>
        </w:rPr>
      </w:pPr>
      <w:r>
        <w:rPr>
          <w:rFonts w:ascii="Trade Gothic;sans-serif" w:hAnsi="Trade Gothic;sans-serif"/>
          <w:b w:val="false"/>
          <w:color w:val="000000"/>
          <w:sz w:val="19"/>
        </w:rPr>
        <w:t>our commercial opportunities will be negatively impacted. Our product candidates may, if approved, also face competition from existing branded, generic and off-label products.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expect that we will need substantial additional capital to complete the development and any commercialization of our current and any future product candidates, which may cause dilution to our stockholders. If we are unable to raise this capital when needed, we may be forced to delay, reduce or eliminate our research and development programs or other operations.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depend substantially on intellectual property rights granted under our license agreement with the Regents of the University of Colorado. If we lose our existing license or are unable to acquire or license additional proprietary rights from third parties, we may not be able to continue developing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If we are unable to obtain and maintain sufficient intellectual property protection for our technology, products and product candidates we may develop,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products may be adversely affected.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patent application process is subject to numerous risks and uncertainties, and there can be no assurance that we or any of our potential future collaborators will be successful in protecting our BIM-IOL System or our other product candidates by obtaining and defending patents.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become involved in third-party claims of intellectual property infringement, which may delay or prevent the development and commercialization of our BIM-IOL System and any future product candidate.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Development, Regulatory Approval and Commercialization</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The regulatory approval processes of the FDA and other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The clinical trials of our product candidates may not demonstrate safety and efficacy to the satisfaction of the FDA or other comparable foreign regulatory authorities or otherwise produce positive results.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product candidates we develop may become subject to unfavorable third-party coverage and reimbursement policies, as well as pricing regulations.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Business Operations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success is highly dependent on our ability to attract and retain highly skilled executive officers and employees.</w:t>
      </w:r>
    </w:p>
    <w:p>
      <w:pPr>
        <w:pStyle w:val="TextBody"/>
        <w:bidi w:val="0"/>
        <w:spacing w:lineRule="auto" w:line="288" w:before="0" w:after="100"/>
        <w:ind w:left="0" w:right="0" w:hanging="360"/>
        <w:jc w:val="left"/>
        <w:rPr/>
      </w:pPr>
      <w:r>
        <w:rPr>
          <w:rFonts w:ascii="Wingdings;sans-serif" w:hAnsi="Wingdings;sans-serif"/>
          <w:b/>
          <w:color w:val="000000"/>
          <w:sz w:val="14"/>
        </w:rPr>
        <w:t>n</w:t>
      </w:r>
      <w:r>
        <w:rPr>
          <w:rFonts w:ascii="Trade Gothic;sans-serif" w:hAnsi="Trade Gothic;sans-serif"/>
          <w:b w:val="false"/>
          <w:color w:val="000000"/>
          <w:sz w:val="19"/>
        </w:rPr>
        <w:t>We rely, and expect to continue to rely, on third parties, including independent clinical investigators and contract research organizations (CROs),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have identified a material weakness in our internal control over financial reporting which, if not remediated, could cause us to fail to timely and accurately report our financial results or prevent fraud, result in restatements of our financial statements and could subject our stock to delisting. As a consequence, stockholders could lose confidence in our financial reporting and our stock price could suffer.</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Ownership of Our Common Stock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 active, liquid and orderly market for our common stock may not develop, or if it is developed, may not be sustained, or we may in the future fail to satisfy the continued listing requirements of Nasdaq, and, as a result, it may be difficult for you to sell your shares of our common stock.</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trading price of our common stock may be highly volatile, and you could lose all or part of your investment.</w:t>
      </w:r>
    </w:p>
    <w:p>
      <w:pPr>
        <w:pStyle w:val="TextBody"/>
        <w:bidi w:val="0"/>
        <w:spacing w:lineRule="auto" w:line="288" w:before="0" w:after="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principal stockholders and management own a significant percentage of our common stock and will be able to exercise significant influence over matters subject to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0335"/>
                <wp:effectExtent l="0" t="0" r="0" b="0"/>
                <wp:wrapNone/>
                <wp:docPr id="30" name="Frame3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Limited Operating History, Our Business and Our Industry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a late-stage biopharmaceutical company with a limited operating history in developing drug delivery systems and have no products approved for commercial sale, which may make it difficult for you to evaluate our current business and predict our future success and viability.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a late-stage biopharmaceutical company with a limited operating history. We have no products approved for commercial sale and have not generated any revenue from product sales. Since our inception, we have devoted substantially all of our resources to the research and development of our product candidates by conducting clinical trials and preclinical studies, building our novel drug delivery technology (SpyGlass Platform), and recruiting management and technical staff to support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we may encounter unforeseen expenses, difficulties, complications, delays and other known and unknown factors and risks frequently experienced by biopharmaceutical companies developing products in rapidly evolving fields. If any of our product candidates are approved by the U.S. Food and Drug Administration (FDA), we will need to expand our commercialization infrastructure to successfully launch such product and also may need to transition from a company with a research focus to a company capable of supporting commercial activities. If we do not adequately address these risks and difficulties or successfully make such a transition, our business will suffer.</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 xml:space="preserve">We have incurred significant losses and negative cash flows from operations since our formation, and we anticipate that we will continue to incur significant losses for the foreseeable future and may never achieve or maintain profitability.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have any products approved for sale, we have not generated any revenue from the sale of products, and we have incurred significant net losses since our company’s formation. We have funded our operations primarily from the sale and issuance of redeemable convertible preferred stock and our IPO. Our net losses were $19.9 million and $33.7 million for the three and six months ended June 30, 2026, respectively, and were $8.7 million and $17.5 million for the three and six months ended June 30, 2025, respectively. As of June 30, 2026, we had an accumulated deficit of $138.4 million.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incurring significant expenses and increasing operating losses for the foreseeable future. We expect that our expenses will increase substantially if and as we: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initiate additional clinical and other studies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change or add additional manufacturers or suppliers, some of which may require additional permits or other governmental approvals;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create additional infrastructure to support our operations as a public company and our product development and planned future commercialization efforts;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seek marketing approvals for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 a sales, marketing, and distribution infrastructure to commercialize any product candidates for which we may obtain marketing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seek to identify, acquire and develop additional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acquire or in-license other product candidates and technologies;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make milestone or other payments in connection with the development or approval of our product candidates;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maintain, protect, and expand our intellectual property portfolio; and </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experience any delays or encounter issues with any of the above.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prior losses and expected future losses have had and will continue to have an adverse effect on our working capital and our ability to achieve and maintain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addition, we may encounter unforeseen expenses, difficulties, complications, delays and other known and unknown factors and risks frequently experienced by biopharmaceutical companies in rapidly evolving fields. We also may need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0335"/>
                <wp:effectExtent l="0" t="0" r="0" b="0"/>
                <wp:wrapNone/>
                <wp:docPr id="31" name="Frame3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transition from a company with a research focus to a company capable of supporting commercial activities. If we do not adequately address these risks and difficulties or successfully make such a transition, our business will suffer.</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substantially dependent on the success of our lead product candidate, our BIM-IOL System, which is currently in clinical trials. If we are unable to complete development of, obtain approval for and commercialize our BIM-IOL System in a timely manner our business will be harmed. We currently generate no revenues from sales of any products and may never generate revenue or be profitable.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future success is dependent on our ability to timely complete clinical trials, obtain marketing approval for and successfully commercialize our lead product candidate, the Bimatoprost Drug Pad-IOL System (BIM-IOL System), which is comprised of novel, proprietary non-bioerodible drug pads attached to our non-bioerodible intraocular lens (IOL), designed to release three years of bimatoprost, the active pharmaceutical ingredient (API) in a highly effective prostaglandin analog (PGA) that was approved by the FDA in 2001. The BIM-IOL System is designed to be implanted during routine cataract surgery to reduce elevated intraocular pressure (IOP) in patients undergoing cataract surgery who have either open-angle glaucoma (OAG) or ocular hypertension (OHT). We are investing significant efforts and financial resources in the research and development of the BIM-IOL System and the SpyGlass Platform generally. We are conducting a Phase 1/2 clinical trial and are continuing to enroll in two registrational Phase 3 clinical trials. We expect to complete enrollment in 2027 and, pending successful Phase 3 results, we plan to submit a 505(b)(2) New Drug Application (NDA) to the FDA in 2028 to seek approval of the BIM-IOL System. We have no products approved for commercial sale and do not anticipate generating any revenue unless our BIM-IOL System or one of our other product candidates receives the regulatory approvals necessary for commercialization. Our ability to generate revenues from product sales will depend on our obtaining marketing approval for and commercializing any such approved product, and we cannot accurately predict when or if our BIM-IOL System or any of our other product candidates will be found safe and effective in humans for our proposed indications or whether our BIM-IOL System or any other such product candidates will receive marketing approval in any jurisdiction. We are not permitted to market or promote any product candidate before we receive marketing approval from the FDA and comparable foreign regulatory authorities, as applicable, and we may never receive such marketing approvals.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ability to generate revenue and achieve profitability, which we do not expect will occur for many years, if ever, depends significantly on the successful development and eventual commercialization of our product candidates. The success of our product candidates will depend on several factors, including, but not limited to,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successful and timely completion of clinical and preclinical development of our BIM-IOL System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initiation and successful patient enrollment and completion of our planned and ongoing clinical trials, as well as any necessary additional clinical trials, in each case with favorable results and on a timely basis;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establishing and maintaining relationships with contract research organizations (CROs), and clinical sites for the clinical development, both in the United States and internationally, of our BIM-IOL System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frequency and severity of adverse events (AEs) in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efficacy, safety and tolerability results that are satisfactory to the FDA or any comparable foreign regulatory authority for marketing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timely receipt of marketing approvals from applicable regulatory authorities for any of our product candidates, including the BIM-IOL System or any future product candidates, for which we successfully complete clinical development;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completing any required post-marketing commitments or requirements agreed to with or required by applicable regulatory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developing an efficient and scalable manufacturing process, either directly or through a third-party contract manufacturing organization (CMO), for our product candidates, including obtaining finished products that are appropriately packaged for sale;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establishing and maintaining commercially viable supply and manufacturing relationships with third parties that can provide adequate, in both amount and quality, products and services to support clinical development and meet any potential market demand for product candidates that we develop, if approved;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locate and retain alternate suppliers for the various components of our product candidates on commercially reasonable terms;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successful commercial launch following any marketing approval, including the development of a commercial infrastructure, whether in-house or with one or more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0335"/>
                <wp:effectExtent l="0" t="0" r="0" b="0"/>
                <wp:wrapNone/>
                <wp:docPr id="32" name="Frame3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continued acceptable safety profile following any marketing approval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commercial acceptance of our product candidates by patients, physicians and surgeons, as well as the broader medical community, and government and third-party payors;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identifying, assessing and developing new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maintaining and expanding patent protection, trademark protection, trade secret protection and regulatory exclusivity, both in the United States and internationally;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protecting our rights in our intellectual property portfolio;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defending against third-party interference or infringement claims, if 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negotiating favorable terms in any collaboration, licensing or other arrangements that may be necessary or desirable to develop, manufacture or commercialize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coverage and adequate reimbursement for physicians, hospitals and ambulatory surgery centers from government and third-party payors for product candidates that we develop;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addressing any competing therapies and technological and market developments;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attracting, hiring and retaining qualified personnel.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or our CMOs may also experience delays in developing a sustainable, reproducible and scalable manufacturing process, which may prevent us from completing our clinical trials or commercializing our product candidates on a timely or profitable basis, if at all. Certain changes in the manufacturing process or facilities we intend to utilize, directly or through a CMO, may require further comparability analysis and/or prior approval by the FDA before implementation, which could delay our clinical trials and product candidate development, and could require additional clinical trials, including bridging studies, to demonstrate comparability to materials produced using different processes or at other facilities.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 xml:space="preserve">Even if the BIM-IOL System or any other product candidate, such as the BIM-DRS, receives marketing approval, such product candidate may fail to achieve market acceptance by surgeons, patients and others in the medical community, and the market opportunity for these product candidates, if approved, may be smaller than we estimate. </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BIM-IOL System or any other product candidate that we develop receives marketing approval, it may nonetheless fail to gain sufficient market acceptance by surgeons, patients, and others in the medical community. Our BIM-IOL System is designed to solve for the limitations presented by currently available therapies by empowering cataract surgeons to use our BIM-IOL System when performing routine cataract surgeries and is designed to fit into all cataract surgeons’ existing procedural flow and preferred techniques; however, cataract surgeons may not accept a new treatment option or feel uncomfortable using a new technology. As a result, even if the BIM-IOL System demonstrates promising or superior clinical results, it is possible that surgeons instead may continue to rely on existing medications, products or treatments.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BIM-IOL System or any other product candidate that we develop does not achieve an adequate level of acceptance, we may not generate significant product revenues and we may not become profitable. The degree of market acceptance of the BIM-IOL System or any other product candidate that we develop, if approved, will depend on a number of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surgeons, patients and others in the medical community considering our product candidates as safe and effective treatments, and their willingness to try or prescribe, as applicable, a new therapy;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offer our product candidates for sale at competitive prices, particularly if there are alternative treatments at a lower or equivalent cost, and the availability of coverage and adequate reimbursement by third-party payors, including government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clinical indications for which the product is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0335"/>
                <wp:effectExtent l="0" t="0" r="0" b="0"/>
                <wp:wrapNone/>
                <wp:docPr id="33" name="Frame3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potential and perceived advantages, and the relative convenience and ease of administration of our product candidates, including as compared to the existing standard of care, alternative treatments and competitive therapies;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willingness of patients to pay out-of-pocket in the absence of coverage and adequate reimbursement by third-party payors, including government authorities;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strength of our marketing and distribution support;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market introduction of our product candidates as well as competitive products;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potential for our competitors to limit our access to the market through anti-competitive contracts or other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prevalence and severity of any side effects;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restrictions on the use of our product candidates together with other medications.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our assessment of the potential market opportunity for the BIM-IOL System is based on industry and market data that we obtained from industry publications and research, surveys, and studies conducted by third parties, as well as management’s knowledge and experience in our industry.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the wholesale acquisition cost of iDose TR, industry publications, third-party research and other surveys, which may be based on a small sample size and/or fail to accurately reflect market opportunities. If any of our assumptions or estimates or any of these publications, research, surveys or studies prove to be inaccurate, then the actual market for the BIM-IOL System or any of our other product candidates may be smaller than we expect, which would have an adverse material impact on our business, financial condition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may, if approved, also face competition from existing branded, generic and off-label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development and commercialization of new drug products is highly competitive. We face competition with respect to the BIM-IOL System and will face competition with respect to any other product candidates that we may seek to develop or commercialize in the future, from large and specialty pharmaceutical, biotechnology, medical technology and ophthalmology companies, academic research institutions and governmental agencies, and public and private research institutions. Any product candidate we develop and commercialize will have to compete with existing therapies, devices and procedures as well as therapies, devices and procedures currently in development and that may be developed in the future. We believe that the key competitive factors affecting the success of any of our product candidates will include efficacy, safety, speed to market, ease of use and reliability, acceptance by physicians, reimbursement and costs, level of devoted promotional activity and IP protection.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lead product candidate, the BIM-IOL System, is designed to treat OAG and OHT, placing us in future direct competition with a range of therapies, devices, procedures and technologies, including topical eye drops, laser-based interventions, MIGS, and intracameral implants. These modalities are offered by companies with significant market presence and resources. For example, we believe we will compete with alternative glaucoma surgical device and ophthalmic laser companies such as Alcon, Allergan (AbbVie), Bausch &amp; Lomb, Glaukos, and Johnson &amp; Johnson, as well as pharmaceutical competitors such as Alcon, Allergan (AbbVie), Astellas, Genentech (Roche) and Regeneron.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commercial opportunity could be reduced or eliminated if our competitors develop and commercialize products that are safer, more effective, have fewer or less severe side effects, or are easier to use, more reliable or less expensive than any of our product candidates that are approved. Our competitors also may obtain FDA or other regulatory approval for their product candidates more rapidly than we may obtain approval for ours, which could result in our competitors establishing a strong market position before we are able to enter the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Many of our current or potential competitors, either alone or with their collaboration partners, have substantially greater financial resources and may have greater expertise in research and development, manufacturing, preclinical testing, conducting clinical trials and marketing approved products than we do. Mergers and acquisitions in the pharmaceutical, biotechnology and ophthalmology industries may result in even more resources being concentrated among a smaller number of our competitors. Smaller or early-stage companies may also prove to be strong competitors, particularly through collaborative arrangements with large and established companies. These companies also compete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0335"/>
                <wp:effectExtent l="0" t="0" r="0" b="0"/>
                <wp:wrapNone/>
                <wp:docPr id="34" name="Frame3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with us in recruiting and retaining qualified scientific and management personnel, as well as in acquiring technologies and intellectual property complementary to, or necessary for, our product candidates. Because of the size of the ophthalmology and vision correction markets and the high growth profile of such markets, we anticipate that companies will dedicate substantial resources to developing competing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that competing treatment options that are successfully developed could eventually be available both within and outside the United States. Our commercial opportunity could be impacted if competitors develop treatments and therapies that are more effective, safer, easier to use, or less costly—or if they achieve regulatory approval ahead of us.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expect that we will need substantial additional capital to complete the development and any commercialization of our current and any future product candidates, which may cause dilution to our stockholders. If we are unable to raise this capital when needed, we may be forced to delay, reduce or eliminate our research and development programs or other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development of biopharmaceutical product candidates is capital-intensive. We expect to spend substantial amounts to advance our product candidates into clinical development and to complete the clinical development of, seek regulatory approvals for and commercialize our product candidates, if approved. If we obtain regulatory approval for our BIM-IOL System or any future product candidates, we expect to incur significant expenses related to developing our internal commercialization capability to support product sales, marketing, and distribution. Furthermore, we expect to incur additional costs associated with operating as a public company. We expect that we will require additional capital beyond the proceeds of our IPO, which we may raise through equity offerings, debt financings or other capital sources, including potential collaborations, licenses and other similar arrangements, to enable us to complete the development and potential commercialization of our BIM-IOL System or any future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June 30, 2026, we had cash and cash equivalents and short-term investments of $234.2 million. We believe that the estimated net proceeds from our IPO, together with our existing cash and cash equivalents and short-term investments, will be sufficient to fund our operating expenses and capital expenditure requirements through 2028. This estimate is based on assumptions that may prove to be wrong, and we could use our available capital resources sooner than we currently expect. Changing circumstances could cause us to consume capital significantly faster than we currently anticipate, and we may need to spend more than currently expected because of circumstances beyond our control. Because the length of time and activities associated with successful development of our product candidates is highly uncertain, we are unable to estimate the actual funds we will require for development and any marketing and commercialization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will need substantial additional capital to develop our product candidates and fund operations for the foreseeable future. Our future capital requirements will depend on many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timing, rate of progress, and costs of our clinical trials for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number and scope of clinical programs we decide to pursue;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timing, and outcome of preparing for and undergoing regulatory review of our current and any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 and timing of manufacturing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of preparing, filing, and prosecuting patent applications and trademark applications, maintaining and enforcing our intellectual property rights, and defending intellectual property-related claims;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terms and timing of establishing and maintaining collaborations, licenses, and other similar arrangements;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timing of any milestone and royalty payments to our existing or future suppliers, collaborators, or licensors;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efforts to enhance operational systems and our ability to attract, hire, and retain qualified personnel, including personnel to support the development of our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associated with being a public company;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acquire or in-license other product candidates and technologies;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extent to which we enter into licensing or collaboration arrangements for any of our programs;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costs and timing of future commercialization activities, including manufacturing, marketing, sales, and distribution of our product candidates, if they receive marketing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we may seek additional capital due to favorable market conditions or strategic considerations, even if we believe we have sufficient funds for our current or future operating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0335"/>
                <wp:effectExtent l="0" t="0" r="0" b="0"/>
                <wp:wrapNone/>
                <wp:docPr id="35" name="Frame3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grant licenses on terms that may not be favorable to us.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Adequate additional financing may not be available to us when needed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development efforts. If we are unable to raise capital when needed or on acceptable terms,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Implantation of our BIM-IOL System involves risks and may result in complications and AEs, which may limit adoption of the BIM-IOL System, if approved, and negatively affect our business, financial condition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BIM-IOL System is designed to be implanted into the capsular bag of the eye in connection with cataract surgery. As with any cataract surgery, there are inherent risks and potential complications involved. These risks may include, but are not limited to, infection, inflammation, bleeding, retinal detachment, increased IOP, dislocation or improper positioning of the IOL, visual disturbances and other AEs. In rare cases, these complications can result in permanent loss of vision or require additional surgical intervention to correct or remove the IOL.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safe and intended use of our BIM-IOL System depends not only on the design and quality of the system but also on the skill and experience of the surgeon performing the implantation. Variability in surgical technique, improper handling or placement of the system, or failure to follow recommended procedures could lead to higher rates of complications or AEs. Additionally, certain patient-specific factors, such as pre-existing ocular conditions or anatomical differences, may elevate the risk of complications.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Negative outcomes associated with our product candidates, whether due to product-related issues, surgical error or patient factors, could result in product liability claims, increased scrutiny from regulatory authorities and negative publicity. Furthermore, reports of AEs or complications could discourage surgeons from adopting our BIM-IOL System, even if approved, or lead to reluctance among patients to undergo procedures involving our BIM-IOL System, thereby limiting our ability to achieve or maintain market acceptance.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unable to demonstrate the safety and effectiveness of our BIM-IOL System and obtain the approvals required for commercialization, or if AEs associated with their use become widely known following such approval for commercialization, our business, financial condition and results of operations could be materially and adversely affected.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the components of our BIM-IOL System experience mechanical failure during clinical trials or potential future commercial use, our business, financial condition and prospects could be negatively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BIM-IOL System is still under development and has not received regulatory approval for commercial sale. As with other ophthalmic implants, our BIM-IOL System incorporates delicate components, such as haptics, that are essential for proper positioning and stability within the eye. During clinical trials or potential future commercial use, mechanical failure of these components—including haptic breakage—may occur during handling, implantation, or post-operatively. Such failures could result in lens dislocation, the need for additional or unplanned surgical intervention, or other adverse clinical outcomes, including compromised visual acuity or patient dissatisfaction.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haptic breakage or other mechanical failures are observed during clinical trials, such events could delay or prevent regulatory approval, require design modifications, or necessitate additional studies. Reports of such failures could also lead to increased regulatory scrutiny, negative publicity, or reluctance among investigators, surgeons, or patients to participate in our clinical trials. Even if our BIM-IOL System ultimately receives regulatory approval, any history of mechanical failures could limit physician and patient adoption, result in product complaints, or expose us to product liability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0335"/>
                <wp:effectExtent l="0" t="0" r="0" b="0"/>
                <wp:wrapNone/>
                <wp:docPr id="36" name="Frame3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events could have a material adverse effect on our business, financial condition, and prospects, and could prevent us from successfully commercializing our BIM-IOL System.</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product liability lawsuits are brought against us, we may incur substantial liabilities and may be required to limit commercialization of our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business exposes us to significant product liability risks inherent in the development, testing, manufacturing and marketing of therapeutic treatments. Product liability claims could delay or prevent completion of our development programs. If any of our product candidates are approved for marketing, such claims could still result in an FDA or other regulatory authority investigation of the safety and effectiveness of such products, our manufacturing processes and facilities or our marketing programs. These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injury to our reputation, withdrawal of clinical trial participants, costs to defend the related litigation, a diversion of management’s time and our resources, initiation of investigations by regulators, substantial monetary awards to patients or other claimants, the inability to commercialize our product candidates and decreased demand for our product candidates, if approved for commercial sale.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and, if judgments exceed our insurance coverage, could adversely affect our results of operations and business and cause our stock price to decline. Furthermore, clinical trial and product liability insurance is becoming increasingly expensive. As a result, we may be unable to maintain or obtain insurance coverage at a reasonable cost or in sufficient amounts to protect us against losses, including those caused by product liability claims.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lead product candidate, the BIM-IOL System, is designed to deliver an API that is already on the market, which exposes us to additional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BIM-IOL System is designed to deliver APIs to the eye of a subject when implanted during cataract surgery. The selected API of our BIM-IOL System, bimatoprost, is the API, a highly effective PGA that was approved by the FDA in 2001 for the reduction of elevated IOP in patients with OAG or OHT. Bimatoprost in the crystalline form we use has been in the public domain and used for the treatment of eye disorders for many years and we are therefore not able to seek and obtain patent protection for the form of crystalline bimatoprost we use in our BIM-IOL System. We cannot prevent third parties from using bimatoprost in competitor ophthalmic drug delivery products because it is in the public domain and accessible by third parties. This may permit a third party having a competing product to be more competitive against us. We purchase bimatoprost from a third-party vendor who has sold the form of bimatoprost that we use in our product candidates for many years. We cannot prevent third parties from purchasing bimatoprost from our vendor or other vendors selling bimatoprost. We cannot prevent our vendor from selling bimatoprost to third parties for their ophthalmic products, which may be similar to our BIM-IOL System or other product candidates. Our vendor does not have patent protection for the bimatoprost that we purchase. We or our vendor cannot prevent third-party vendors from making and/or selling bimatoprost such as selling the third-party vendors’ bimatoprost to third-party competitors. Furthermore, if manufacturer demand for bimatoprost increases in the future, or if a shortage occurs, we may not be able to continue to obtain bimatoprost on commercially reasonable terms or at all, which would significantly harm our business. Similar risks will apply to the extent that we incorporate additional or different APIs that are also already in the public domain into any future product candidates we develop.</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although bimatoprost has been commercially available for several years, regulatory authorities may identify adverse side effects related to bimatoprost in the future. Any adverse side effects that arise from the use of any form of bimatoprost, or reporting thereof, could prevent or inhibit the commercialization of our BIM-IOL System and seriously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0335"/>
                <wp:effectExtent l="0" t="0" r="0" b="0"/>
                <wp:wrapNone/>
                <wp:docPr id="37" name="Frame3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Changes in U.S. trade policy, including recently announced tariffs, could have a material adverse impact on our business, financial condition,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Changes in U.S. trade policy, including recently announced tariffs, could have a material adverse impact on our business, financial condition, and results of operations. The imposition of retaliatory or new tariffs or increases in existing tariffs on goods imported from countries where we source from third-party suppliers could result in increased material costs. If we are unable to mitigate these risks through supply chain adjustments, such as changing third-party suppliers, the development, testing and clinical trials of our product candidates may be delayed or infeasible, and regulatory approval or commercial launch of any resulting product may be delayed or not obtained, which could significantly harm our business.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Intellectual Property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depend substantially on intellectual property rights granted under our license agreement with the Regents of the University of Colorado. If we lose our existing license or are unable to acquire or license additional proprietary rights from third parties, we may not be able to continue developing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March 2020, we entered into an Exclusive License Agreement with the Regents of the University of Colorado (CU), which was amended in December of 2020, May of 2023, and October of 2025 (as amended, the License Agreement), pursuant to which CU granted us an exclusive, worldwide, royalty-bearing, transferable license, with the right to grant sublicenses, under certain patents and patent applications co-owned by CU and us relating to an intraocular drug dispenser (the Licensed Patents) for us to make, have made, use, import, offer to sell, sell, render and practice all products covered by the Licensed Patents (the License, and such products of the Licensed Patents) in all fields. All Licensed Patents are jointly owned by CU and us. CU retains the non-exclusive right for itself and all other not-for-profit academic and research institutions to practice all Licensed Products for educational, research, clinical, or other non-commercial purposes. The U.S. federal government retains a non-exclusive right to practice the Licensed Patents under 35 U.S.C. §§ 200-212 and 37 C.F.R. § 401, and we must use commercially reasonable efforts to cause any Licensed Products to be manufactured substantially in the United States to the extent required by 35 U.S.C. § 204.</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License Agreement, we are obligated to use commercially reasonable efforts to develop, market and sell at least two Licensed Products in all fields worldwide, to meet certain diligence milestones by certain deadlines, and to pay CU an annual license fee, milestone payments and royalties. CU may terminate the agreement for, among other causes, our uncured material breach of the License or our failure to use commercially reasonable efforts to develop a product covered by the Licensed Patents in the territories set forth in the License, including efforts to meet the development and commercial milestones and obligations in the License Agreement, and cessation of sales of a commercially sold Licensed Product for two consecutive calendar quarters, in each case pursuant and subject to the terms of the License Agreement.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Termination of this license for failure to comply with such obligations or for other reasons, or reduction or elimination of our licensed rights under it or any other license, may result in our having to negotiate new or reinstated licenses on less favorable terms or our not having sufficient intellectual property rights to operate our business. The occurrence of such events could materially harm our business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risks described elsewhere pertaining to our intellectual property rights also apply to the intellectual property rights that we in-licensed, and any failure by us or our licensors to obtain, maintain, defend and enforce these rights could have a material adverse effect on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obtain and maintain sufficient intellectual property protection for our technology, products and product candidates we may develop,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Our success depends in large part on our ability to obtain and maintain patent protection in the United States and select foreign countries with respect to our BIM-IOL System and any future product candidates. We rely upon a combination of patents, trademarks and trade secret protections, and nondisclosure, confidentiality, employment agreements, work-for-hire agreements and other work-product agreements to protect the intellectual property related to our BIM-IOL System and our other product candidates. If we are unable to obtain or maintain patent protection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0335"/>
                <wp:effectExtent l="0" t="0" r="0" b="0"/>
                <wp:wrapNone/>
                <wp:docPr id="38" name="Frame3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respect to our BIM-IOL System or any future product candidates, and their uses, our business, financial condition, resultant operations and prospects could be materially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generally seek to protect our proprietary position by filing patent applications in the United States and in certain select foreign jurisdictions including Canada, Japan, Australia, and Europe related to our BIM-IOL System and our other product candidates that are important to our business. If we fail to obtain, maintain and protect our intellectual property, third parties may be able to compete more effectively against us. In addition, we may incur substantial costs related to litigation or other patent proceedings in the United States or foreign countries in which we have sought patent prosecution in our attempts to recover losses caused by a third party or restrict use of our intellectual property by a third party. The patent prosecution process is expensive and time-consuming, and we may not be able to file, prosecute, enforce or license all necessary or desirable patent applications at a reasonable cost or in a timely manner or in all jurisdictions where protection may be commercially advantageous or even in the jurisdictions where we have sought patent protection. Additionally, recent reforms, U.S. Supreme Court and Federal Circuit jurisprudence, specific governmental appointments, and changes at government agencies of the United States and those of non-U.S. jurisdictions could increase the delays, uncertainties and costs surrounding the prosecution of our patent applications, and the maintenance, enforcement, or defense of our patents. For example, the ability of the U.S. Patent and Trademark Office (USPTO) and other applicable patent authorities to properly administer their functions is highly dependent on the levels of funding available to the agency, the specific appointees positioned in the USPTO, and the USPTO’s ability to retain personnel and fill key leadership appointments, among various factors. New statutory frameworks, new case law, or USPTO rulemaking and advisement can significantly impact our ability to obtain, enforce, and defend our patents. For example, a change regarding patent eligible subject matter can have drastic effects on medical technologies, especially with respect to surgical methods and proposed methods of treatment.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output and data before it is too late to obtain patent protection because of a third-party filing or a disclosure into the public domain. Moreover, if we choose to license certain patent rights now or in the future from third parties, we may not have the right to control the preparation, filing and prosecution of such patent applications, or to maintain the patents, directed to technology that we license from those third parties. We may also require the cooperation of our future licensor, if any, in order to enforce and/or defend the licensed patent rights, and such cooperation may not be provided. Therefore, any licensed patents and patent applications may not be prosecuted and enforced in a manner consistent with the best interests of our business. We cannot be certain that patent prosecution and maintenance activities by any of our future licensors have been or will be conducted in compliance with applicable laws and regulations, which may affect the validity and enforceability of such patents or any patents that may issue from such patent applications. If they fail to obtain a patent, this could cause us to lose rights in any applicable intellectual property that we in-license, and as a result our ability to develop and commercialize the BIM-IOL System and our other product candidates may be adversely affected and we may be unable to prevent competitors from making, using and selling competing products to our products or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patent positions of companies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that could narrow or otherwise alter the scope of coverage of our patent.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our patents or any other patents owned by or licensed to us could deprive us of rights necessary for our commercial success. Further, there can be no assurance that we will have adequate resources to enforce our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0335"/>
                <wp:effectExtent l="0" t="0" r="0" b="0"/>
                <wp:wrapNone/>
                <wp:docPr id="39" name="Frame3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39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selected API of our BIM-IOL System, bimatoprost, is an approved and known pharmaceutical that has been in the public domain and used for the treatment of eye disorders for many years and we are therefore not able to seek and obtain patent protection for the form of crystalline bimatoprost we use in our BIM-IOL System. There is no assurance that all of the potentially relevant patents or patent applications relating to bimatoprost or its forms and formulations have been identified in the United States and in foreign jurisdictions, the identity of which could be asserted against our use of bimatoprost in our BIM-IOL System. A third party may hold patent protection on the API bimatoprost used in our platform in its current form. These patents may be asserted against us in litigation such as patent infringement or other cause of action, for our use of the API in our BIM-IOL System. If a patent is asserted against us, this could have a negative impact on our business. The third party holding such a patent may have substantially greater resources than we do and may have competing technologies that may limit, interfere with, or block our ability to make, have made, use, import, offer to sell, and sell our BIM-IOL System or other product candidates where the delivered drug is bimatoprost. If a patent is asserted against us, we would need to divert considerable resources and personnel to fight such an action in order to defend our position and to challenge the patent’s validity, enforceability, or scope, which may result in such asserted patents being upheld but may also result in such patent being narrowed, invalidated or held unenforceable. Such actions would require considerable resources and time distracting us from our business. We may be forced to take a license, if offered, from a third party holding such a patent for use of bimatoprost in our BIM-IOL System or other product candidates in the future. If we are unable to obtain a license under reasonable terms, we may be forced to use a different API that could be less desirable or effective in our proposed treatments. In addition, these patents could be asserted against our vendor that supplies bimatoprost to us and we could be forced to seek alternative sources of bimatoprost not protected by the patent or to seek a different API from our vendor or a different vendor to use in our BIM-IOL System. If we are forced to use a different API in our BIM-IOL System, we would have to expend considerable resources and time assessing a replacement API that is at least as effective as bimatoprost and in developing and testing the new API in our BIM-IOL System, which may cause significant additional expenses for example, when manufacturing or seeking regulatory approval for a replacement API in our BIM-IOL System.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patent applications we hold or may in-license in the future with respect to our BIM-IOL System and product candidates fail to issue, if their breadth or strength of protection is threatened, or if they fail to provide meaningful exclusivity for our BIM-IOL System or any future product candidate, it could dissuade other companies from collaborating with us to develop product candidates, and threaten our ability to commercialize the BIM-IOL System or future product candidates. Any such outcome could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issuance of a patent is not conclusive as to its inventorship, scope, validity or enforceability, and our owned and licensed patents and patent applications may be challenged in the courts or patent offices in the United States and our selected foreign jurisdictions. Patents that have issued may later be found invalid or unenforceable or may be modified or revoked in proceedings instituted by third parties before various patent offices or in courts. An adverse decision in any such challenges may result in loss of exclusivity or in patent claims being narrowed, invalidated or held unenforceable, in whole or in part, which could limit our ability to stop others from using or commercializing similar or identical technologies and products, or limit the duration of the patent protection of our technology and product candidates. Additionally, an adverse decision in any such challenge can impact the validity or enforceability of other patents of ours that are not part of the adverse decision but related to our challenged patents. Generally, issued patents are granted a term of 20 years from the earliest claimed non-provisional filing date. In certain instances, patent term can be adjusted to recapture a portion of delay incurred by the USPTO in examining the patent application (patent term adjustment) if the delays by the USPTO outnumber the days of delay created by the patentee in the examination process. The scope of patent protection may also be limited as a result of successful challenges or other processes available to narrow the scope of claims of a patent post issuance.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Without patent protection for our BIM-IOL System or future product candidates, we may be open to competition from similar or the same products as our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a duration of patent protection rights of sufficient length to exclude others from commercializing products similar or identical to our product candidates.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patent application process is subject to numerous risks and uncertainties, and there can be no assurance that we or any of our potential future collaborators will be successful in protecting our BIM-IOL System or our other product candidates by obtaining and defending patents.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Pending patent applications cannot be enforced against third parties practicing the technology claimed in such applications unless and until a patent is issued for such applications. The patent application process is subject to numerous risks and uncertainties, and there can be no assurance that we or any of our potential future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0335"/>
                <wp:effectExtent l="0" t="0" r="0" b="0"/>
                <wp:wrapNone/>
                <wp:docPr id="40" name="Frame4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partners will be successful in protecting our BIM-IOL System or our other product candidates by obtaining and defending patents. These risks and uncertainties include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USPTO and various foreign governmental patent agencies where we have pursued patent protection require compliance with a number of procedural, documentary, fee payment structure and other provisions during the patent prosecution process and maintenance thereof, the noncompliance with which can result in abandonment or lapse of a patent or patent application, and partial or complete loss of patent rights in the relevant jurisdiction;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USPTO requires us to disclose all material references to the USPTO and to the Patent Examiner during prosecution of our patent applications at the USPTO, and failure to do so could result in a third party identifying material references unknown to us and successfully challenging our ability to obtain a patent, maintain a patent or enforce a patent against an infringer;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 applications may not result in any patents being issued;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may be challenged, invalidated, modified, revoked, circumvented, found to be unenforceable or otherwise may not provide any competitive advantage against third-party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competitors, many of whom have substantially greater resources than we do and many of whom have made significant investments in competing technologies, may seek or may have already obtained patents that will limit, interfere with, reduce or block our ability to make, have made, use, import, offer to sell, and sell our BIM-IOL System or other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there could be delays at the USPTO caused by staffing cuts and other U.S. government actions as a result of the U.S. Department of Government Efficiency or other executive actions to reduce the size of the U.S. government and in particular the USPTO staff;</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there may be significant pressure on the U.S. government and foreign governmental bodies to limit the scope of patent protection both inside and outside the United States for use of our BIM-IOL System or other product candidates in the treatment of eye-related conditions that prove successful, as a matter of public policy regarding U.S and foreign health concerns;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countries other than the U.S. may have patent laws less favorable to patentees than patent laws in the U.S. Patent Office or those upheld by U.S. courts in as far as obtaining and enforcing patent rights, allowing foreign competitors a better opportunity to create, develop and market competing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patents and patent applications that we own or license may fail to result in patents with claims that protect our BIM-IOL System, development programs or any future product candidate in the United States or in other foreign countries of which we seek protection. There is no assurance that all of the potentially relevant prior art relating to our patents and patent applications has been found, which can prevent a patent from issuing from a pending patent application or can be used to invalidate a patent. Even if patents do successfully issue and even if such patents cover our BIM-IOL System or any future product candidate, third parties may challenge their validity, enforceability or scope, which may result in such patents being narrowed, invalidated or held unenforceable. Any successful opposition to these patents or any later obtained patents owned by, or licensed to us could deprive us of rights necessary for the successful commercialization of our BIM-IOL System or any other product candidates that we may develop. Further, the scope and coverage of our patents may be so narrow that a third party could design around our patents and therefore, not infringe our patent(s). Further, if we encounter delays in issuance of a patent and/or regulatory approvals, the period during which we could market a product candidate under patent protection could be reduced.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 foregoing events could have a material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U.S. and foreign patent laws relating to the patentability of certain inventions in drug delivery technology, medical device and medical product industry are uncertain and rapidly changing, which may adversely impact our existing patents or our ability to obtain patents in the future.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Changes in either patent laws or interpretation of patent laws in the United States or in other jurisdictions could increase the uncertainties and costs surrounding the prosecution of patent applications, the grant of patents, and the enforcement or defense of patents. In the last fifteen years, the U.S. Congress made sweeping changes to patent law in passing the America Invents Act (AIA). Additionally, appointed government officials to the USPTO or that control the USPTO processes can participate in selective enforcement making selective decisions and rule-making that can affect the issuance and/or enforceability and/or post-grant challenges to the validity of our patent(s) and patent applications. These changes include, among others, allowing third-party submission of prior art to the USPTO during patent prosecution and additional procedures to challenge the validity of a patent by the USPTO administered post-grant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0335"/>
                <wp:effectExtent l="0" t="0" r="0" b="0"/>
                <wp:wrapNone/>
                <wp:docPr id="41" name="Frame4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pPr>
      <w:r>
        <w:rPr>
          <w:rFonts w:ascii="Trade Gothic;sans-serif" w:hAnsi="Trade Gothic;sans-serif"/>
          <w:b w:val="false"/>
          <w:color w:val="000000"/>
          <w:sz w:val="19"/>
        </w:rPr>
        <w:t xml:space="preserve">proceedings, including post-grant review, </w:t>
      </w:r>
      <w:r>
        <w:rPr>
          <w:rFonts w:ascii="Trade Gothic;sans-serif" w:hAnsi="Trade Gothic;sans-serif"/>
          <w:b w:val="false"/>
          <w:i/>
          <w:color w:val="000000"/>
          <w:sz w:val="19"/>
        </w:rPr>
        <w:t>inter partes</w:t>
      </w:r>
      <w:r>
        <w:rPr>
          <w:color w:val="000000"/>
        </w:rPr>
        <w:t xml:space="preserve"> </w:t>
      </w:r>
      <w:r>
        <w:rPr>
          <w:rFonts w:ascii="Trade Gothic;sans-serif" w:hAnsi="Trade Gothic;sans-serif"/>
          <w:b w:val="false"/>
          <w:color w:val="000000"/>
          <w:sz w:val="19"/>
        </w:rPr>
        <w:t>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our claim invalid even though the same evidence would be insufficient to invalidate our claim if first presented in a district court action. The AIA also provides that an administrative tribunal known as the Patent Trial and Appeals Board (PTAB), provides a venue for challenging the validity of patents at a cost that is much lower than district court litigation and on timelines that are much faster. Although it is not clear what, if any, long-term impact the PTAB proceedings will have on the operation of our business, the initial results of patent challenge proceedings before the PTAB since its inception in 2013 have resulted in the invalidation of many U.S. patent claims. The availability of the PTAB as a lower-cost, faster and potentially more potent process for challenging patents could increase the likelihood that our patents will be challenged, thereby increasing the uncertainties and costs of maintaining and enforcing them. The changes brought about by the AIA can increase the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Various courts, including the U.S. Supreme Court, have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to pending patent applications when examining claims for patent eligibility. Patent eligibility guidelines vary by country and patent claims that may be subject matter eligible in the United States may not be eligible in another foreign jurisdiction. For example, as compared to the United States, our ability to obtain claims to medical methods is more limited in Europe, Japan and Canada. Additionally, enforcement and recoverable damages in the United States based on patent claims to medical methods have limitations that may affect our ability to enforce certain patent claims.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Actions taken by the U.S. Congress, federal courts and USPTO have from time to time narrowed the scope of patent protection available in certain circumstances and weakened the rights of patent owners in some situations. Similar changes have been made by authorities in other foreign jurisdictions. In addition to increasing uncertainty with regard to our ability to obtain patents, such changes create uncertainty with respect to the value of patents, once obtained. Depending on decisions by authorities in the United States and in selected foreign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sure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drug delivery and medical device technology areas and any such changes, or any similar adverse changes in the patent laws of other foreign jurisdictions, could have a negative impact on our business, financial condition, prospects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on June 1, 2023, the European Union Patent Package (EU Patent Package) regulations were implemented with the goal of providing a single pan-European Unitary Patent (Unitary Patent) and a new European Unified Patent Court (UPC) for litigation involving European patents. As a result, all European patents, including those issued prior to ratification of the EU Patent Package, now by default automatically fall under the jurisdiction of the UPC, unless otherwise selecting a different course by opting out at the time of grant. It is uncertain how the UPC will impact granted European patents in the biotechnology, medical products and pharmaceutical industries. Our European patent applications, if granted and not opted out, could be challenged in the UPC. During the first seven years of the UPC’s existence, the UPC legislation allows a patent owner to opt its European patents out of the jurisdiction of the UPC. We have already opted out of the UPC for one European patent and may decide to opt out our other future European patents from the UPC, but doing so may preclude us from realizing the benefits of the UPC. Moreover, if we do not meet all of the formalities and requirements for opt-out under the UPC, our current or future European patents could remain under the jurisdiction of the UPC. The UPC provides our competitors with a forum to centrally revoke our European patents and allow for the possibility of a competitor to obtain a pan-European injunction. Such a loss of patent protection could have a material adverse impact on our business and our ability to commercialize our technology and our product candidates due to increased competition and, resultantly, affecting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0335"/>
                <wp:effectExtent l="0" t="0" r="0" b="0"/>
                <wp:wrapNone/>
                <wp:docPr id="42" name="Frame4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Patent terms may be inadequate to protect our competitive position on our BIM-IOL System or other product candidates for an adequate amount of time.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Patent rights are of limited duration. In the United States, if all maintenance fees are paid timely, the natural expiration of a patent is generally 20 years after its first effective filing date. However, the actual protection afforded by a patent varies from country to country, and depends on many factors, including the type of patent, the scope of its coverage, the availability of regulatory-related extensions, the availability of legal remedies in a particular country and the validity and enforceability of the patent. Various extensions may be available, but the life of a patent, and the protection it affords is limited. Only a single patent can be extended for each marketing approval under the FDA, and any patent can be extended only once, for a single product. Moreover, the scope of protection during the period of the patent term extension does not extend to the full scope of the claims, but instead only to the scope covering the product as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third-party products. As a result, our patent portfolio may not provide us with sufficient rights to exclude others from commercializing product candidates similar or identical to ours. Upon issuance in the United States, the term of a patent may be increased by patent term adjustment, which is based on certain delays caused by the USPTO, but this increase can be reduced or eliminated based on certain delays caused by the patentee during patent prosecution. The term of a U.S. patent may also be shortened if the patent is terminally disclaimed over an earlier-filed patent.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Depending upon the timing, duration and specifics of FDA marketing approval of our BIM-IOL System and future product candidates, one or more of our U.S. patents may be eligible for limited patent term extension under the Drug Price Competition and Patent Term Restoration Act of 1984, referred to as the Hatch-Waxman Amendments as a combination drug and device FDA-approved product. The Hatch-Waxman Amendments permit a patent restoration term of up to five years and is based on the first approved use of a combination product and is limited to only one patent that covers the approved combination product, the approved use of the combination product, or a method of manufacturing the combination product. Such patent term extension (PTE) cannot extend the remaining term of a patent beyond a total of 14 years from the date of product approval. However, the applicable authorities, including the FDA and the USPTO,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PTE is only relevant after a patent has been issued. If the USPTO or other foreign patent office delays issuance of a patent, this can affect the number of days awarded that extend patent term. The PTE is awarded based upon the FDA’s regulatory review period, but the PTE evaluation stage involves cooperation between the USPTO and the FDA. Reduced personnel and increased workload of USPTO examiners can affect issuance of a patent and if delayed, shortens the number of PTE days eligible for award. Administrative changes (e.g., at the FDA or USPTO) may also lead to delays in review and analysis of regulatory submissions or requests for PTE. If we are unable to extend the expiration date of our existing patents or obtain new patents covering our product(s) with prolonged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 If PTE is unavailable, reduced or not awarded, our ability to prevent third parties from selling products that infringe our patent subject to PTE covering our ophthalmic drug delivery product candidates or other future product candidates can be reduced where our patents could expire sooner if PTE is reduced or not awarded.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Laws governing PTE in foreign jurisdictions where we have pursued patent protection analogous to U.S. PTE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patent term restoration, or the term of any such extension is less than we request, the period during which we will have the right to exclude others from marketing our product in the specific jurisdiction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0335"/>
                <wp:effectExtent l="0" t="0" r="0" b="0"/>
                <wp:wrapNone/>
                <wp:docPr id="43" name="Frame4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identify relevant third-party patents or may incorrectly interpret the relevance, scope or expiration of a third-party patent, which might adversely affect our ability to develop and market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the drug delivery and medical device industries expand and more patents are issued, the risk increases that our BIM-IOL System or our other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in the United States or foreign jurisdictions. Identification of third-party patent rights that may be relevant to our operations is difficult because patent searching is imperfect due to differences in terminology among patents, varied public access when comparing searching programs, incomplete databases and the difficulty in assessing the meaning of patent claims. We cannot provide any assurances that third-party patents do not exist which might be enforced against our existing product candidates or current technology, including our BIM-IOL System or any of our future product candidates, their respective methods of use, and manufacture thereof, and could result in either an injunction prohibiting our manufacture or future sales, or, with respect to our future sales, an obligation on our part to pay royalties and/or other forms of compensation to third parties, which could be significant.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that is relevant to or necessary for the commercialization of our BIM-IOL System and future product candidates in any jurisdiction.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Numerous U.S. and foreign patents and patent applications exist in our market that are owned by third parties. Our competitors in both the United States and in foreign jurisdictions,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offer to sell and sell our BIM-IOL System or our other product candidates. Patents and patent applications in foreign jurisdictions can be harder to find and therefore, it is possible that we will not be able to identify patent or patent applications relevant to our product candidates. We do not always conduct independent reviews of pending patent applications and patents issued to third parties. Patent applications in the United States and certain foreign countries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a patent issues and therefore, remains confidential from the public until such time. In addition, patent applications in the United States and certain foreign jurisdictions can be pending for many years before issuance, or unintentionally abandoned patents or applications can be revived. Furthermore, pending patent applications that have been published can, subject to certain limitations, be later amended in a manner that could cover our BIM-IOL System or our other product candidates or the use of our BIM-IOL System or our other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BIM-IOL System or our other product candidates or will prevent, limit or otherwise interfere with our ability to make, use, offer to sell, or sell our BIM-IOL System or our other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scope of a patent claim is determined by an interpretation of the law, the written disclosure in a patent and the patent’s prosecution history. Our interpretation of the relevance or the scope of a patent or a patent application may be incorrect, which may negatively impact our ability to market our product candidates, if approved. For example, we may incorrectly determine that our BIM-IOL System or our other product candidate(s) are not covered by a third-party patent or may incorrectly predict whether a third party’s pending application will issue with claims of relevant scope. Our determination of the expiration date of any patent in the United States or foreign jurisdictions that we consider relevant may be incorrect, and our failure to identify and correctly interpret relevant patents may negatively impact our ability to obtain patents covering our product candidates(s) and develop and market our product candidates. Our failure to identify and correctly interpret relevant patents may negatively impact our ability to develop and market our product candidates, if approved.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Obtaining and maintaining our patent protection depends on compliance with various procedural processes,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Periodic maintenance fees, renewal fees, annuity fees and various other government fees on patents and/or patent applications will be due to be paid to the USPTO and certain foreign patent agencies in several stages over the lifetime of our patents and patent applications. The USPTO and various foreign patent agencies require compliance with a number of procedural, documentary, fee payment, and other similar provisions during the patent application and patent maintenance process if not complied with by us, can lead to a shortened life of our patents or our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0335"/>
                <wp:effectExtent l="0" t="0" r="0" b="0"/>
                <wp:wrapNone/>
                <wp:docPr id="44" name="Frame4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applications and the patents or patent applications can go abandoned without the ability to revive. While an inadvertent lapse can in many cases be cured by payment of a late fee or by other means in accordance with the applicable rules in the USPTO, there are situations in which noncompliance can result in abandonment or lapse of the patent or patent application in the United States or foreign jurisdictions,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failure to pay an annuity by a final deadline, failure to pay a grant or issue fee by a final deadline, and failure to properly legalize and submit formal documents without the ability to cure. We employ reputable law firms and other professionals to help us comply with these provisions. In many cases, an inadvertent lapse can be cured by payment of a late fee or by other means in accordance with the applicable rules. If we or any of our licensors fail to maintain the patents and patent applications covering the BIM-IOL System or any future product candidate, our competitors may be able to enter the market with products similar or the same as ours without risk of infringement, which would have an adverse effect on our business, financial conditions, results of operations and growth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become involved in third-party claims of intellectual property infringement, which may delay or prevent the development and commercialization of our BIM-IOL System and any future product candidate.</w:t>
      </w:r>
    </w:p>
    <w:p>
      <w:pPr>
        <w:pStyle w:val="TextBody"/>
        <w:bidi w:val="0"/>
        <w:spacing w:lineRule="auto" w:line="288" w:before="0" w:after="240"/>
        <w:jc w:val="left"/>
        <w:rPr/>
      </w:pPr>
      <w:r>
        <w:rPr>
          <w:rFonts w:ascii="Trade Gothic;sans-serif" w:hAnsi="Trade Gothic;sans-serif"/>
          <w:b w:val="false"/>
          <w:color w:val="000000"/>
          <w:sz w:val="19"/>
        </w:rPr>
        <w:t xml:space="preserve">Our commercial success depends in part on our ability to develop, manufacture, market and sell our BIM-IOL System and any future product candidates, while avoiding infringement and other violations of the patents and proprietary rights of third parties. There is a substantial amount of litigation and other adverse proceedings, both within and outside the United States, involving patent and other intellectual property rights in the drug delivery, medical device and medical device therapeutic delivery system industries, including patent infringement lawsuits, international trade commission (ITC)-related lawsuits that affect import of products that infringe third-party patents (e.g., Section 337 of the U.S. Tariff Act of 1930), interferences, derivation, and administrative law proceedings, </w:t>
      </w:r>
      <w:r>
        <w:rPr>
          <w:rFonts w:ascii="Trade Gothic;sans-serif" w:hAnsi="Trade Gothic;sans-serif"/>
          <w:b w:val="false"/>
          <w:i/>
          <w:color w:val="000000"/>
          <w:sz w:val="19"/>
        </w:rPr>
        <w:t>inter partes</w:t>
      </w:r>
      <w:r>
        <w:rPr>
          <w:color w:val="000000"/>
        </w:rPr>
        <w:t xml:space="preserve"> </w:t>
      </w:r>
      <w:r>
        <w:rPr>
          <w:rFonts w:ascii="Trade Gothic;sans-serif" w:hAnsi="Trade Gothic;sans-serif"/>
          <w:b w:val="false"/>
          <w:color w:val="000000"/>
          <w:sz w:val="19"/>
        </w:rPr>
        <w:t xml:space="preserve">review, </w:t>
      </w:r>
      <w:r>
        <w:rPr>
          <w:rFonts w:ascii="Trade Gothic;sans-serif" w:hAnsi="Trade Gothic;sans-serif"/>
          <w:b w:val="false"/>
          <w:i/>
          <w:color w:val="000000"/>
          <w:sz w:val="19"/>
        </w:rPr>
        <w:t xml:space="preserve">ex parte </w:t>
      </w:r>
      <w:r>
        <w:rPr>
          <w:rFonts w:ascii="Trade Gothic;sans-serif" w:hAnsi="Trade Gothic;sans-serif"/>
          <w:b w:val="false"/>
          <w:color w:val="000000"/>
          <w:sz w:val="19"/>
        </w:rPr>
        <w:t xml:space="preserve">re-examinations, and post-grant review before the USPTO, as well as oppositions and similar processes in foreign jurisdictions. We may be exposed to, or threatened with, future litigation by third parties having patent or other intellectual property rights who allege that our BIM-IOL System or our other product candidates, uses and/or other proprietary technologies infringe their intellectual property rights. Companies in the drug delivery and medical device industry have used intellectual property litigation to gain a competitive advantage. Our commercial success depends in part upon our ability and that of our CMOs and suppliers to manufacture, market, and sell our product candidates, if approved, and to use our proprietary technologies without infringing, misappropriating or otherwise violating the proprietary rights or intellectual property of third parties. We may in the future become party to, or be threatened with, adversarial proceedings or litigation regarding intellectual property rights with respect to our BIM-IOL System, our other product candidates and any future product candidates and technology, whether or not we are actually infringing, misappropriating or otherwise violating the rights of third parties. Numerous U.S. and foreign patents and pending patent applications, which are owned by third parties, exist in the fields in which we and our collaborators are developing product candidates. As the drug delivery and medical device industries expand and more patents are issued, and as we gain greater visibility and market exposure as a public company, the risk increases that our BIM-IOL System or our other product candidates or other business activities may be subject to claims of infringement of the patent and other proprietary rights of third parties. Third parties may assert that we are infringing their patents or employing their proprietary technology without authorization, regardless of the merit of such claims.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BIM-IOL System or our other product candidates. Regardless of when filed, we may fail to identify relevant third-party patents or patent applications, or we may incorrectly conclude that a third-party patent is invalid or not infringed by our BIM-IOL System or our other product candidates or activities. If a patent holder believes that our product candidate our BIM-IOL System infringes its patent, the patent holder may sue us even if we have received patent protection for our technology. Moreover, we may face patent infringement claims from nonpracticing entities that have no relevant product revenue and against whom our own patent portfolio may thus have no deterrent effect. If a patent infringement suit were threatened or brought against us, we could be forced to stop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0335"/>
                <wp:effectExtent l="0" t="0" r="0" b="0"/>
                <wp:wrapNone/>
                <wp:docPr id="45" name="Frame4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delay research, development, manufacturing or sales of the product or product candidate that is the subject of the actual or threatened suit.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 candidates and business operations infringe or violate the intellectual property rights of others that include these patent trolls.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Also, there may be third-party patents or patent applications with claims to materials, drug delivery features, formulations, methods of manufacture or methods for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third parties may obtain patent rights in the future and claim that use of our technologies infringes their rights. If any third-party patents were held by a court of competent jurisdiction to cover the manufacturing process of any of our product candidates, cover important features of our product candidate methods of treating certain diseases or conditions that we are pursuing with our product candidates, our BIM-IOL System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trade secrets of others, and to the extent that our employees, consultants or contractors use intellectual property or proprietary information owned by others in their work for us, disputes may arise as to the rights in related or resulting know-how and inventions.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Parties making claims against us may obtain injunctive or other equitable relief, which could effectively block our ability to further develop and commercialize one or more of our BIM-IOL System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additional licenses from third parties to advance our research or allow commercialization of our BIM-IOL System or our other product candidates. We may fail to obtain any of these additional licenses at a reasonable cost or on reasonable terms, if at all. In that event, we would be unable to further develop and commercialize our BIM-IOL System or other product candidates, which could harm our business significantly. The acquisition or licensing of third-party intellectual property rights is a competitive area, and our competitors may pursue strategies to acquire or license third-party intellectual property rights that we may consider attractive or necessary. If we are unable to successfully obtain rights to required third-party intellectual property rights or maintain the existing intellectual property rights we have, we may have to abandon development of the relevant product candidates or redesign those product candidates that contain the allegedly infringing intellectual property, which could harm our business, financial condition and results of operations.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force us to cease some of our business operations, which could materially harm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provide any assurances that third-party patents do not exist which might be enforced against our BIM-IOL System or our other product candidates, resulting in either an injunction prohibiting our sales, or, with respect to our sales, an obligation on our part to pay royalties under terms of a license agreement or other forms of compensation to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During the course of any intellectual property litigation, there could be public announcements of the litigation such as commencement of a litigation, results of hearings, rulings on motions, and other interim proceedings in the litigation. If securities analysts or investors regard these announcements as negative, the perceived value of our existing products,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 Because of the substantial amount of discovery required in connection with intellectual property litigation, there is a risk that some of our confidential information could be compromised by disclosure during litigation. Even if we ultimately prevail, a court may decide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0335"/>
                <wp:effectExtent l="0" t="0" r="0" b="0"/>
                <wp:wrapNone/>
                <wp:docPr id="46" name="Frame4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become involved in lawsuits to protect or enforce our patents or other intellectual property rights, or the patents or other intellectual property rights of our licensors, which could be expensive, time consuming, and unsuccessful, and could result in a court or administrative body finding our patents to be invalid or unenforceable.</w:t>
      </w:r>
    </w:p>
    <w:p>
      <w:pPr>
        <w:pStyle w:val="TextBody"/>
        <w:bidi w:val="0"/>
        <w:spacing w:lineRule="auto" w:line="288" w:before="0" w:after="240"/>
        <w:jc w:val="left"/>
        <w:rPr/>
      </w:pPr>
      <w:r>
        <w:rPr>
          <w:rFonts w:ascii="Trade Gothic;sans-serif" w:hAnsi="Trade Gothic;sans-serif"/>
          <w:b w:val="false"/>
          <w:color w:val="000000"/>
          <w:sz w:val="19"/>
        </w:rPr>
        <w:t xml:space="preserve">Competitors may challenge, infringe or otherwise violate our co-owned licensed patents, or our other intellectual property rights. To counter challenges, infringement or unauthorized use or misappropriations, we or any future licensors may be required to file or defend legal claims against us, which can be expensive and time-consuming. In addition, in such a proceeding, a court may decide that one or more patent of ours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and/or unenforceability are commonplace. Grounds for a validity challenge could be an alleged for failure to meet any of several statutory requirements, including lack of inventiveness, obviousness, non-enablement, insufficient written description, or failure to claim patent-eligible subject matter. Grounds for an unenforceability assertion could be an allegation that someone connected with prosecution of the patent or that we withheld relevant material information from the USPTO, or made a materially misleading statement, during prosecution. Third parties may also raise similar validity claims before the USPTO in post-grant proceedings such as </w:t>
      </w:r>
      <w:r>
        <w:rPr>
          <w:rFonts w:ascii="Trade Gothic;sans-serif" w:hAnsi="Trade Gothic;sans-serif"/>
          <w:b w:val="false"/>
          <w:i/>
          <w:color w:val="000000"/>
          <w:sz w:val="19"/>
        </w:rPr>
        <w:t>ex parte</w:t>
      </w:r>
      <w:r>
        <w:rPr>
          <w:color w:val="000000"/>
        </w:rPr>
        <w:t xml:space="preserve"> </w:t>
      </w:r>
      <w:r>
        <w:rPr>
          <w:rFonts w:ascii="Trade Gothic;sans-serif" w:hAnsi="Trade Gothic;sans-serif"/>
          <w:b w:val="false"/>
          <w:color w:val="000000"/>
          <w:sz w:val="19"/>
        </w:rPr>
        <w:t xml:space="preserve">reexaminations, </w:t>
      </w:r>
      <w:r>
        <w:rPr>
          <w:rFonts w:ascii="Trade Gothic;sans-serif" w:hAnsi="Trade Gothic;sans-serif"/>
          <w:b w:val="false"/>
          <w:i/>
          <w:color w:val="000000"/>
          <w:sz w:val="19"/>
        </w:rPr>
        <w:t xml:space="preserve">inter partes </w:t>
      </w:r>
      <w:r>
        <w:rPr>
          <w:rFonts w:ascii="Trade Gothic;sans-serif" w:hAnsi="Trade Gothic;sans-serif"/>
          <w:b w:val="false"/>
          <w:color w:val="000000"/>
          <w:sz w:val="19"/>
        </w:rPr>
        <w:t>review, or post-grant review, or oppositions or similar proceedings outside the United States, in parallel with litigation or even outside the context of litigation. Additionally, delays caused by the federal agencies may increase the period that we are subject to such claims. For example, administrative changes, including reduced personnel, change of personnel and budgets experienced by the Patent and Trial Appeal Board, could further delay our ability to timely challenge any such patents. The outcome following legal assertions of invalidity and unenforceability is unpredictable. In any patent infringement proceeding, there is a risk that even if the validity of such patents is upheld, the court will construe the patent’s claims narrowly or decide that we do not have the right to stop the other party from using the invention at issue on the grounds that it or any future licensors’ patent claims do not cover the invention, or decide that the other party’s use of our or any future licensors’ patented technology falls under the safe harbor to patent infringement under 35 U.S.C. §271(e)(1). An adverse outcome in a litigation or proceeding involving our co-owned or any future licensors’ patents could limit our ability to assert our or any future licensors’ patents against those parties or other competitors and may curtail or preclude our ability to exclude third parties from making, importing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certain that any of our licensors or future licensors have rights to the inventions covered by our licenses or future licenses. Our current or future licensors may have relied on third-party consultants or collaborators or on funds from third parties, such as the U.S. government, such that our licensors are not the sole and exclusive owners of the patents we in-license. If third parties have ownership rights or other rights to our co-owned licensed patents or patent applications, they may be able to license such patents or patent applications to our competitors, and our competitors could market competing products and technology. This could adversely affect our competitive position,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cannot be certain that any of our licensors or future licensors are not violating rights of a third party. We cannot be certain that there is no invalidating prior art to our patents or licensed patents, of which we, our licensors, and the patent examiner were unaware during prosecution. For any patents and patent applications that we may license from third parties, we may have limited or no right to participate in the defense of such licensed patents against challenge by a third party. If a defendant were to prevail on a legal assertion of invalidity or unenforceability, we would lose at least part, and perhaps all, of the patent protection on our current or future product candidates. Such a loss of patent protection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0335"/>
                <wp:effectExtent l="0" t="0" r="0" b="0"/>
                <wp:wrapNone/>
                <wp:docPr id="47" name="Frame4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prevent, alone or with our licensors or licensees, misappropriation of our intellectual property rights, particularly in countries of where we have or have not filed our patent applications where the laws may not protect those rights as fully as in the United States. Our business could be harmed if in litigation, the prevailing third-party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competition in our industry is intense, competitors may infringe or otherwise violate our co-owned licensed patents or other intellectual property. To counter infringement or unauthorized use, we may be required to file a lawsuit, which can be expensive and time consuming, and could distract our technical and management personnel from their normal responsibilities. Any claims we assert against perceived infringers could provoke these parties to assert counterclaims or file administrative actions against us alleging that we infringe their patents or that our patents are invalid. In addition, in a patent infringement proceeding, a court may decide that our patent is invalid or unenforceable, in whole or in part, construe the patent’s claims narrowly or refuse to stop the other party from using the technology at issue on the grounds that our patents do not cover the technology in question. An adverse result in any litigation proceeding or administrative action could put one or more of our patents at risk of being invalidated or interpreted narrowly. Our competitors may assert invalidity on various grounds, including lack of novelty, obviousness or that we were not the first applicant to file a patent application related to our product. We may elect to enter into license agreements in order to settle patent infringement claims or to resolve disputes before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commencement of such a proceeding, results of hearings, motions or other interim proceedings or developments. If securities analysts or investors perceive these results to be negative, it could have an adverse effect on the price of our common stock. Moreover, we cannot be assured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of the expense and uncertainty of litigation, we may conclude that even if a third party is infringing our patents, any patents that may be issued as a result of our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in relation to the third-party activities. Such actions, while prudent, may impact our ability to enforce our patents or recover damages in future proceedings or litigations.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be able to protect our intellectual property rights in the United States and foreign jurisdictions which we have filed for intellectual property protection, which could impair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Patents are of national or regional effect, and filing, prosecuting, and defending patents covering our BIM-IOL System and any future product candidate throughout the world would be prohibitively expensive; therefore, we have pursued patent coverage in the United States, and in a limited number of foreign jurisdictions. In addition, the laws of some foreign countries do not protect intellectual property rights to the same extent as federal and state laws in the United States, even in jurisdictions where we are pursuing patent protection. Consequently, we may not be able to prevent third parties from practicing our or any future owned or licensed inventions in all countries outside the United States, even in jurisdictions where we pursue patent protection, or from selling or importing products made using our or any future inventions in and into the United States or foreign jurisdictions. Competitors may use our or any future technologies in jurisdictions where we have not obtained patent protection to develop their own products and, further, may export otherwise infringing products to territories where we may have or are seeking to obtain patent protection, but where patent enforcement is not as strong as that in the United States. These third-party competitors’ products may compete with our product candidates in such jurisdictions and take away our market share where we do not have any issued or licensed patents and any future patent claims, and other intellectual property rights may not be effective or sufficient to prevent them from manufacturing.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0335"/>
                <wp:effectExtent l="0" t="0" r="0" b="0"/>
                <wp:wrapNone/>
                <wp:docPr id="48" name="Frame4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property protection, which could make it difficult for us to stop the infringement of our patents, or manufacturing of our product or future products, or marketing of competing products in violation of our intellectual property and proprietary rights generally. We currently have no patents or patent applications filed or pending in developing countries. In certain developing countries, companies could manufacture, sell and/or use our BIM-IOL System or future product without infringement. In addition, certain jurisdictions do not protect to the same extent or at all inventions that constitute methods of treatment.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the jurisdictions of where we seek patent protection may be inadequate to obtain a significant commercial advantage for the product candidates that we develop and market. Furthermore, while we intend to protect our intellectual property rights in our selected significant markets, we have limited resources and cannot ensure that we will be able to initiate or maintain similar efforts in all jurisdictions in which we may wish to market our BIM-IOL System or our other product candidates. Accordingly, our efforts to protect our intellectual property rights in such countries may be inadequate, which may have an adverse effect on our ability to successfully commercialize our BIM-IOL System or any of our future product candidates in all of our selected significant foreign markets.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in the foreign jurisdictions of which we seek patent protection and intend to market our BIM-IOL System and other future products. 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maintenance of issued patents in Russia. These actions could result in abandonment or lapse of our future Russian patents or patent applications, resulting in partial or complete loss of patent rights in Russia.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products and our patents or other IP rights may not be effective or sufficient to prevent them from competing.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0335"/>
                <wp:effectExtent l="0" t="0" r="0" b="0"/>
                <wp:wrapNone/>
                <wp:docPr id="49" name="Frame4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49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protect the confidentiality of our trade secrets, our business and competitive position would be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to the protection afforded by patents, we may seek to rely on trade secret protection to protect proprietary know-how that is not patentable, processes for which patents are difficult to enforce, processes that are better protected by trade secret than a limited patent term, and any other elements of our product discovery and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to our proprietary know-how, information, or technology to enter into confidentiality agreements and we have confidential agreements with respect to our trade secrets,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As a result, we may encounter significant problems in protecting and defending our intellectual property both in the United States and in foreign jurisdictions where we seek to maintain protection of our trade secrets.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 Claims that we have misappropriated the confidential information or trade secrets of third parties could have a similar negative impact on our business. Intellectual property litigation may lead to unfavorable publicity that harms our reputation and causes the market price of our common shares to decline.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we expect to collaborate with third parties on the continuing development of the BIM-IOL System and any future product candidates, we must, at times, share trade secrets with them. We also expect to conduct research and development (R&amp;D) programs that may require us to share trade secrets under the terms of our partnerships or agreements with CROs. We seek to protect our proprietary technology in part by entering into agreements containing confidentiality and use restrictions and obligations, including material transfer agreements, consulting agreements, manufacturing and supply agreements, confidentiality agreements or other similar agreements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by us when working with third parties, the need to share trade secrets and other confidential information increases the risk that such trade secrets become known to unauthorized personnel or by our competitors, are inadvertently incorporated into the technology of others, or are disclosed or used in violation of these contractual agreements. Given that our proprietary position is based, in part, on our know-how and trade secrets, a competitor’s discovery of our trade secrets or other unauthorized use or disclosure could impair our competitive position and may have an adverse effect on our business and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these agreements typically restrict the ability of our advisors, employees, third-party contractors, CMOs, CROs, other service providers and consultants to publish data potentially relating to our trade secrets, because our agreements contain certain limited publication rights. Despite our efforts to protect our trade secrets, our trade secrets and other know-how may get published by advisors, employees, third-party contractors, CMOs, CROs, other service providers or consultants.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could impair our competitive position and have an adverse impact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to investigate and pursue action against this unauthorized disclosure, and the outcome would be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product candidates, including confidential aspects of methods of manufacturing, assembly and related processes, are based on unpatented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0335"/>
                <wp:effectExtent l="0" t="0" r="0" b="0"/>
                <wp:wrapNone/>
                <wp:docPr id="50" name="Frame5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claims that our employees, consultants or independent contractors have wrongfully used or disclosed confidential information of their former employers or other third parties or claims asserting ownership of what we regard as our own intellectual property.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employ individuals who were previously employed at other biotechnology, pharmaceutical, medical technology and ophthalmology companies, or at research institutions, including our competitors or potential competitors. Although we take steps to ensure that our employees, consultants and advisors comply with any ongoing obligations to former employers and other third-parties, and do not use the proprietary information or know-how of third parties, including former employers, in their work for us, we may be subject to claims that these individuals have violated their contractual obligations with former employers or other third party and/or improperly retained proprietary information of a former employer, or such individuals or we have used or disclosed intellectual property, including trade secrets or other proprietary information, of any such individual’s former employer. We may be subject to claims that we or our employees, consultants or independent contractors have inadvertently or otherwise used or disclosed confidential information of our employees’ former employers or other third parties or used this information in their employment or other engagement with us. Litigation may be necessary to defend against these claims. For example, we are currently a defendant in a litigation filed by one of our competitors, Glaukos Corporation, in the United States District Court for the Central District of California alleging, among other claims, that we and one of our employees misappropriated Glaukos’ trade secrets and confidential information. If we fail in defending any such claims, in addition to paying monetary damages, we may lose valuable intellectual property rights or be enjoined from using or relying on certain intellectual property. An inability to incorporate such technologies or features would harm our business and may prevent us from successfully commercializing our technologies, our BIM-IOL System or our other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employees, consultants or independent contractors may wrongfully use or disclose confidential information of ours to the public or third-party competitor and we could fail to protect potential intellectual property rights and other important information identified in the confidential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seek to protect our confidential information by ensuring that our agreements with our employees, collaborators, and other third parties with whom we do business include provisions requiring non-disclosure of confidential information, our employees, collaborators, and other third parties with whom we do business could disclose our confidential information to the public or third-party competitors. Disclosure of our confidential information related to the SpyGlass Platform, the BIM-IOL System, or any other current or future product candidates could harm our business. Litigation or other courses of action may be needed to enforce our contract against our employees, former employees, collaborators, or other third parties with whom we do business. This would divert significant resources and funding to enforce such an action. These disclosures of confidential information could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claims that former employers, consultants or other third parties have an ownership interest in our patents or patent applications as an inventor or co-inventor.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may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 candidates, services, or technologies.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BIM-IOL System or our other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There is no guarantee of success in defending these claims, and if we fail in defending any such claims, in addition to paying monetary damages, we may lose valuable intellectual property rights, such as exclusive ownership of, or right to use, valuable intellectual property. Such challenges may also result in our inability to develop, manufacture or commercialize our technologies, our BIM-IOL System and our other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Even if we are successful,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0335"/>
                <wp:effectExtent l="0" t="0" r="0" b="0"/>
                <wp:wrapNone/>
                <wp:docPr id="51" name="Frame5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could result in substantial cost and be a distraction to our management and other employees. Any of the foregoing could adversely affect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trademarks, future trademarks and trade names are not adequately protected, then we may not be able to build brand recognition in our markets of interest and our business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intend to use registered or unregistered trademarks or trade names to brand and market ourselves and our product candidates. Our trademarks or trade names may be challenged, infringed, circumvented or declared generic or determined to be infringing on other marks. During trademark registration proceedings, we may receive rejections of our applications by the USPTO or in other foreign jurisdictions of which we seek trademark protection.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any proprietary name we propose to use with our current or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effort to identify a suitable proprietary product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Intellectual property rights do not necessarily address all potential threats to our competitive advantage.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formulations and compositions of therapeutic agents used in our BIM-IOL System and any future product candidates may be old, unable to obtain patent protection, may be in the public domain and we may not be able to preclude others from using active ingredients of our BIM-IOL System and any future product candidates in third-party ophthalmic therapies;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be able to make formulations or compositions that are the same as or similar to our current and future active ingredients of use in our BIM-IOL System and any future product candidates, but that are not covered by the pending patent applications or patents that we co-own or any pending patent applications or patents that we may in-license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be able to make product that is similar to our current and future product candidates we intend to commercialize that is not covered by the patents that we exclusively licensed and have the right to enforce;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any of our future licensors or collaborators might not have been the first to make the inventions covered by the patents or pending patent applications that we co-own or may in-license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or any of our future licensor might not have been the first to file patent applications covering certain of our or their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0335"/>
                <wp:effectExtent l="0" t="0" r="0" b="0"/>
                <wp:wrapNone/>
                <wp:docPr id="52" name="Frame5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independently develop similar or alternative technologies or duplicate any of our technologies without infringing or otherwise violating our owned intellectual property rights or any patent applications that we may license in the future;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it is possible that our pending patent applications or those that we may own or license in the future will not result in a patent;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that we either co-own or that we may own or license in the future may be revoked, modified or held valid or unenforceable, as a result of legal challenges by our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patents that we either co-own or that we may own or license in the future may not provide us with any competitive advantages;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others may have access to the same intellectual property rights licensed to us in the future on a non-exclusive basis;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competitors might conduct research and development activities in the United States and other countries that we seek patent protection for our inventions,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not develop additional proprietary technologies that are patentable;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cannot predict the scope of protection of any patent based on our or any future licensors’ patent applications, including whether the patent applications that we co-own, or, in the future, in-license will result in a patent with claims directed to our BIM-IOL System or our other product candidates or uses thereof in the United States or in other foreign countries of which we seek patent protection;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claims of any patent based on our patent applications may not provide protection against competitors or any competitive advantages, or may be challenged by third parties;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if enforced, a court may not hold that our patents are valid, enforceable or infringed;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need to initiate litigation or administrative proceedings to enforce and/or defend our patent rights which will be costly whether we win or lose;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fail to adequately protect and police our trademarks and trade secrets;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patents of others may have an adverse effect on our business, including if others obtain patents claiming subject matter similar to or an improvement on inventions covered by our patent applications.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comply with our obligations under any license, collaboration or other agreements, such agreements may be terminated, we may be required to pay damages, and we could lose intellectual property rights that are necessary for developing and protecting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rely on certain intellectual property rights licensed from third parties for the development and commercialization of our BIM-IOL System and our other product candidates, including under the License Agreement described above. We may in the future also need to obtain additional licenses or otherwise acquire development or commercialization rights to current and future product candidates or data from third parties. If any future licensors fail to prosecute, maintain, enforce, and defend such patents, or lose rights to those patents, the rights we have licensed may be reduced or eliminated, and our right to develop and commercialize future product candidates that may be subject of such licensed rights could be adversely affected. In spite of our efforts, any future licensors might conclude that we are in material breach of obligations under our license agreements.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 candidates that are covered by the licensed technology or enable a competitor to gain access to the licensed technology. If such in-licenses are terminated, or if the underlying patents fail to provide the intended exclusivity, our competitors will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Any of these events could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0335"/>
                <wp:effectExtent l="0" t="0" r="0" b="0"/>
                <wp:wrapNone/>
                <wp:docPr id="53" name="Frame5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Disputes may arise between us and our licensors regarding intellectual property subject to a license agreement,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scope of rights granted under the license agreement and other interpretation-related issues;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financial or other obligations under the license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whether and the extent to which our technology and processes infringe on intellectual property of the licensor that is not subject to or covered by the licensing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right to sublicense patents and other rights under our grant of manufacture and sales and collaborative development relationships to third-party sublicensees;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sublicensees rights to further sublicense rights under our license agreement;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diligence obligations with respect to the use of the licensed technology in relation to our development and commercialization of our BIM-IOL System and future product candidates, and what activities satisfy those diligence obligations;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right to transfer or assign the license to a third party;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inventorship or ownership of inventions and know-how resulting from the joint creation or use of intellectual property by any of our licensors and us and our partners;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priority of invention of patented technology.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disputes over intellectual property that we license prevent or impair our ability to maintain our licensing arrangements on acceptable terms, we may not be able to successfully develop and commercialize the affected product candidates, which would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certain of our current or future agreements with third parties may limit or delay our ability to consummate certain transactions, may impact the value of those transactions, or may limit our ability to pursue certain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we or our current or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listings, ownership, claim scope, timely filed responses, timely paid fees, timely filed terminal disclaimers and other filings, submissions of relevant references, or timely requests for patent term adjustments. If our current or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a patent or a valid or enforceable patent if challenged. Any of these outcomes could impair our ability to prevent competition from third parties, which may have an adverse impact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even where we have the right to control patent prosecution of patents and patent applications under a license, we may still be adversely affected or prejudiced by actions or inactions of our predecessors or licensors and their counsel that took place prior to us assuming control over patent prosecution.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acquired technologies and current or future licensed technology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 Results of future research covered by or relevant to our co-owned licensed patent rights could be disclosed in a public forum prior to our being able to file a patent application to protect any new discoveries resulting from such research and could result in the inability to protect these inventions in the United States or desired foreign jurisdiction.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If we are limited in our ability to utilize acquired technologies or current or future licensed technologies, or if we lose our rights to critical acquired or in-licensed technology, we may be unable to successfully develop, out-license, market and sell our product candidates, which could prevent or delay new product introductions. Our business strategy depends on the successful development of acquired technologies, and current or future licensed technology,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0335"/>
                <wp:effectExtent l="0" t="0" r="0" b="0"/>
                <wp:wrapNone/>
                <wp:docPr id="54" name="Frame5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commercial products. Therefore, any limitations on our ability to utilize these technologies may impair our ability to develop, out-license or market and sell any product candidate.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Any collaboration or partnership arrangements that we may enter into in the future may not be successful, which could adversely affect our ability to develop and commercialize our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have significant discretion in determining the efforts and resources that they will apply to collaborations;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could independently develop, or develop with third parties, products that compete directly or indirectly with our current and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could grant exclusive rights to our collaborators that would prevent us from collaborating with others;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disputes may arise between us and a collaborator that cause delay or termination of the research, development or commercialization of our current or future product candidates or that results in costly litigation or arbitration that diverts management attention and resources;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collaborations may be terminated, and, if terminated, may result in a need for additional capital to pursue further development or commercialization of the applicable current or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collaborator’s sales and marketing activities or other operations may not be in compliance with applicable laws resulting in civil or criminal proceedings.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not be able to license or acquire additional or necessary intellectual property rights or technology from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currently have rights to intellectual property covering our BIM-IOL System and our other product candidates. Because our development programs may in the future require the use of additional proprietary rights held by third parties, the growth of our business may depend in part on our ability to acquire, in-license, or use these third-party proprietary rights. Further, other parties, including our competitors, may have patents and have filed and are likely filing patent applications potentially relevant to our business. In order to avoid infringing these patents, we may find it necessary or prudent to obtain licenses to such patents from such parties. The licensing or acquisition of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No assurance can be given that we will be successful in licensing any additional rights or technologies from third parties.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product candidates and could increase the cost, and extend the timelines associated with our development, of such other product candidates, and we may have to abandon development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0335"/>
                <wp:effectExtent l="0" t="0" r="0" b="0"/>
                <wp:wrapNone/>
                <wp:docPr id="55" name="Frame5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relevant program or product candidate. Any of the foregoing could have a material adverse effect on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licensed patents and patent applications may have been or may be in the future supported through the use of U.S. government funding awarded by the National Institute of Health or other federal agency or the FDA Office of Orphan Products Development and the Army Medical Research and Development Command. We may have licensed, or may acquire or license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covered by the government funding for any governmental purpose. In addition, the U.S. government has the right, under certain limited circumstances, to require a patentee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U.S. government also has the right to take title to these inventions if the grant recipient or associated institution fails to disclose the invention to the government, fails to reference the government funding in a patent application or patent,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The U.S. government may require that the inventions be solely produced in the United States or impute substantial tariffs if manufactured in a foreign jurisdiction.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Because of the expense and uncertainty of litigation, we may not be in a position to enforce our intellectual property rights against third parties.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0335"/>
                <wp:effectExtent l="0" t="0" r="0" b="0"/>
                <wp:wrapNone/>
                <wp:docPr id="56" name="Frame5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Development, Regulatory Approval and Commercialization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regulatory approval processes of the FDA and other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marketing application for our product candidates, the FDA and other comparable foreign regulatory authorities may approve our product candidates for a more limited indication or a narrower patient population than we originally requested. We have not obtained regulatory approval for any product candidate, and it is possible that none of our existing product candidates or any product candidates we may seek to develop in the future will ever obtain regulatory approval. Of the large number of drugs in development, only a small percentage successfully complete the applicable regulatory approval processes and are commercialized.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available nonclinical or clinical data support the safety or efficacy of our product candidates, such data may not be sufficient to obtain approval from the FDA and other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Applications for our product candidates may be delayed or limited or could fail to receive regulatory approval for many reasons, including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disagree with the design, implementation or results of our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determine that our product candidates are not safe and effective for their intended uses, only moderately effective or have undesirable or unintended side effects, toxicities or other characteristics that preclude our obtaining marketing approval or prevent or limit commercial use;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population studied in the clinical trial may not be sufficiently broad or representative to assure efficacy and safety in the full patient population for which we seek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not accept clinical data from trials that are conducted at clinical facilities or in countries where the standard of care is potentially different from that of their own country;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disagree with our interpretation of data from preclinical studies or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data collected from clinical trials of our product candidates may not be sufficient to support a submission to obtain regulatory approval in the United States or elsewhere;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unable to demonstrate to the FDA or other comparable foreign regulatory authorities that a product candidate’s risk-benefit ratio for its proposed indication is acceptable;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approval policies or regulations of the FDA or other comparable foreign regulatory authorities may significantly change in a manner rendering our clinical data insufficient for approval;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0335"/>
                <wp:effectExtent l="0" t="0" r="0" b="0"/>
                <wp:wrapNone/>
                <wp:docPr id="57" name="Frame5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other comparable foreign regulatory authorities may not accept a submission due to, among other reasons, the content or formatting of the submission.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With respect to foreign markets, approval procedures vary among countries and, in addition to the foregoing risks, may involve additional product testing, administrative review periods and agreements with pricing authorities.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clinical trials of our product candidates may not demonstrate safety and efficacy to the satisfaction of the FDA or other comparable foreign regulatory authorities or otherwise produce positive results.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 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FDA or comparable foreign regulatory authorities disagreeing as to the design or implementation of our clinical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regulatory authorizations to commence a trial or reaching a consensus with regulatory authorities on trial design;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failure or delay in reaching an agreement with CROs and clinical trial sites, the terms of which can be subject to extensive negotiation and may vary significantly among different CROs and trial sites;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obtaining approval from one or more institutional review boards (IRBs);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IRBs refusing to approve, suspending or terminating the trial at an investigational site, precluding enrollment of additional subjects, or withdrawing their approval of the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to clinical trial protocol;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clinical sites deviating from trial protocol or dropping out of a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sufficient quantities of product candidate or obtaining sufficient quantities of combination therapies for use in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failing to enroll or remain in our trial at the rate we expect, or failing to return for post- treatment follow-up;</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choosing an alternative treatment for the indication for which we are developing our product candidates, or participating in competing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lack of adequate funding to continue the clinical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subjects experiencing severe or unexpected treatment-related AEs;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occurrence of serious adverse events (SAEs) in trials of the same class of agents conducted by other companies;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selection of clinical end points that require prolonged periods of clinical observation or analysis of the resulting data;</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a facility manufacturing our product candidates or any of their components being ordered by the FDA or comparable foreign regulatory authorities to temporarily or permanently shut down due to violations of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0335"/>
                <wp:effectExtent l="0" t="0" r="0" b="0"/>
                <wp:wrapNone/>
                <wp:docPr id="58" name="Frame5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jc w:val="left"/>
        <w:rPr>
          <w:rFonts w:ascii="Trade Gothic;sans-serif" w:hAnsi="Trade Gothic;sans-serif"/>
          <w:b w:val="false"/>
          <w:color w:val="000000"/>
          <w:sz w:val="19"/>
        </w:rPr>
      </w:pPr>
      <w:r>
        <w:rPr>
          <w:rFonts w:ascii="Trade Gothic;sans-serif" w:hAnsi="Trade Gothic;sans-serif"/>
          <w:b w:val="false"/>
          <w:color w:val="000000"/>
          <w:sz w:val="19"/>
        </w:rPr>
        <w:t>good manufacturing practice (cGMP) regulations or other applicable requirements, or infections or cross-contaminations of product candidates in the manufacturing process;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changes to our manufacturing process that may be necessary or desired;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contractors not performing data collection or analysis in a timely or accurate manner; or</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Clinical trials must be conducted in accordance with the FDA’s and other applicable regulatory authorities’ legal requirements,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0335"/>
                <wp:effectExtent l="0" t="0" r="0" b="0"/>
                <wp:wrapNone/>
                <wp:docPr id="59" name="Frame5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59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Enrollment and/or retention of patients in clinical trials is an expensive and time-consuming process subject to various external factors beyond our control that may cause delays in the clinical development of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timely completion of clinical trials in accordance with their protocols depends, among other things, on our ability to enroll a sufficient number of eligible patients who remain in the trial until its conclusion.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Patient enrollment is a significant factor in the timing of clinical trials. We completed enrollment in our Phase 1/2 multi-center, randomized clinical trial in November 2024 and subsequently initiated, are currently enrolling two registrational Phase 3 clinical trials, and plan to enroll a first-in-human trial for BIM-DRS. Any difficulties we experience relating to enrollment in any clinical trial could delay the clinical development of our product candidates and our planned timeline to submit an NDA to the FDA.</w:t>
      </w:r>
    </w:p>
    <w:p>
      <w:pPr>
        <w:pStyle w:val="TextBody"/>
        <w:bidi w:val="0"/>
        <w:spacing w:lineRule="auto" w:line="288" w:before="0" w:after="240"/>
        <w:jc w:val="left"/>
        <w:rPr/>
      </w:pPr>
      <w:r>
        <w:rPr>
          <w:rFonts w:ascii="Trade Gothic;sans-serif" w:hAnsi="Trade Gothic;sans-serif"/>
          <w:b w:val="false"/>
          <w:color w:val="000000"/>
          <w:sz w:val="19"/>
        </w:rPr>
        <w:t>We may experience difficulty in patient enrollment in our clinical trials for a number of reasons. 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w:t>
      </w:r>
      <w:r>
        <w:rPr>
          <w:color w:val="000000"/>
        </w:rPr>
        <w:t xml:space="preserve"> </w:t>
      </w:r>
      <w:r>
        <w:rPr>
          <w:rFonts w:ascii="Trade Gothic;sans-serif" w:hAnsi="Trade Gothic;sans-serif"/>
          <w:b w:val="false"/>
          <w:color w:val="000000"/>
          <w:sz w:val="19"/>
        </w:rPr>
        <w:t>candidates. Patient enrollment depends on many other factors,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size and nature of the patient population required for analysis of the trial’s endpoints;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availability and efficacy of approved drugs and other competing therapeutic candidates for the condition under investigation;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patient eligibility and exclusion criteria for the trial in question as defined in the protocol;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recruit clinical trial investigators with the appropriate competencies and experience;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design of the clinical trial;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perceived risks and benefits of the product candidate under study;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physicians’, surgeons’ and participants’ perceptions as to the potential advantages of the product candidate being studied in relation to other available therapies, including any new products that may be approved for the indications we are investigating;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participant referral practices of physicians and surgeons;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ability to monitor participants adequately during and after treatment;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proximity and availability of clinical trial sites for prospective trial patients;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continued enrollment of prospective patients by clinical trial sites;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risk that patients enrolled in clinical trials will drop out of the trials before completion.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hindering their clinical development, and jeopardize our ability to obtain marketing approval for the sale of our product candidates. Furthermore, we expect to rely on CROs and clinical trial sites to ensure the proper and timely conduct of our clinical trials and we will have limited influence over their performance. Even if we are able to enroll a sufficient number of patients for our clinical trials, we may have difficulty maintaining enrollment of such patients in our clinical trials.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Patients in our ongoing and planned clinical trials may in the future suffer SAEs or other side effects not observed in our preclinical studies or previous clinical trials. If SAEs or other side effects are observed in any of our ongoing or planned clinical trials, we may have difficulty recruiting patients to the clinical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0335"/>
                <wp:effectExtent l="0" t="0" r="0" b="0"/>
                <wp:wrapNone/>
                <wp:docPr id="60" name="Frame6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undesirable side effects may inhibit market acceptance due to tolerability concerns as compared to other available therapies. Any of these developments could materially harm our business, financial condition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AEs include: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suspend marketing of a product, or we may decide to remove such product from the marketplace;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authorities may withdraw or change their approvals of a product;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create a medication guide outlining the risks of a product for patients, or to conduct post-marketing studies;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be required to change the way a product is administered;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could be subject to fines, injunctions, or the imposition of criminal or civil penalties, or be sued and held liable for harm caused to subjects or patients;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 product may become less competitive, and our reputation may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From time to time, we may publicly disclose interim, preliminary or top-line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condition. Preliminary or top-line data also remain subject to FDA audit and verification procedures that may result in the final data being materially different from the preliminary data we previously published. As a result, interim, preliminary and top-line data should be viewed with caution until the final data are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have a material adverse effect on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Further, disclosure of interim, top-line or preliminary data by us or by our competitors could result in volatility in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0335"/>
                <wp:effectExtent l="0" t="0" r="0" b="0"/>
                <wp:wrapNone/>
                <wp:docPr id="61" name="Frame6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the FDA does not conclude that a product candidate satisfies the requirements for the Section 505(b)(2) regulatory approval pathway, or if the requirements under Section 505(b)(2) are not as we expect, the approval pathway for our product candidates in this pathway will likely take significantly longer, cost significantly more and entail significantly greater complications and risks than anticipated, and in either case may not be successful.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believe that certain of our product candidates, including our BIM-IOL System will be regulated under the drug provisions of the FDCA, enabling us to submit NDAs for approval of such product candidates in the United States.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 Section 505(b)(2), if applicable to us under the FDCA, would allow an NDA we submit to the FDA to rely in part on data in the public domain or on the FDA’s prior conclusions regarding the safety and effectiveness of approved compounds, which could expedite the development program for our product candidates by potentially decreasing the amount of nonclinical and/or clinical data that we would need to generate in order to obtain FDA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the FDA does not allow us to pursue the Section 505(b)(2) regulatory pathway for a product candidate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or that such competitor would not obtain regulatory exclusivities from the FDA that could delay potential approval of our product.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we are able to utilize the Section 505(b)(2) regulatory pathway, there is no guarantee this pathway will ultimately streamline the development of our product candidates or result in an approval on any timeline.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Additional time may be required to obtain regulatory approval for our product candidates because they are combination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developing our product candidates, including the BIM-IOL System, as drug-led, drug-device combination products. We anticipate that, if successfully developed, our product candidates would be regulated as combination products by the FDA and other regulatory authorities. Combination products require coordination within the FDA and similar foreign regulatory agencies for review of the drug and device components. For example, we expect that the FDA’s review of a marketing application for the BIM-IOL System may include the participation of both the FDA’s Center for Drug Evaluation and Research and the FDA’s Center for Devices and Radiological Health. Although the FDA and similar foreign regulatory agencies have systems in place for the review and approval of drug-led combination products, we may experience delays in the development and commercialization of our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drug component application,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 In addition, to date, the FDA has not requested a separate medical device authorization submission for our IOL and proprietary drug pads. However, the FDA may request a separate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0335"/>
                <wp:effectExtent l="0" t="0" r="0" b="0"/>
                <wp:wrapNone/>
                <wp:docPr id="62" name="Frame6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device submission for the BIM-IOL System in the future or other future product candidates, which could significantly delay the development and commercialization of our combination product candidates.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Changes in methods of product candidate manufacturing or formulation may result in additional costs or delay.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pricing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the pricing of a prescription drug candidate is subject to regulatory approval before it can be sold in that jurisdiction. In some cases, the price that we intend to charge for our products, if approved, is also subject to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if approved,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have conducted, are currently conducting, and may in the future conduct, clinical trials for current or future product candidates outside the United States, and the FDA and comparable foreign regulatory authorities may not accept data from such trials.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conducted, are currently conducting, and may in the future conduct, clinical trials outside the United States. We expect to continue to conduct trials internationally in the future. The acceptance of data from clinical trials conducted outside the United States or another jurisdiction by the FDA or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0335"/>
                <wp:effectExtent l="0" t="0" r="0" b="0"/>
                <wp:wrapNone/>
                <wp:docPr id="63" name="Frame6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Even if we receive regulatory approval of our product candidates, we will be subject to ongoing regulatory obligations and continued regulatory oversight,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if we obtain any regulatory approval for one or more of our product candidates, such product candidates will be subject to ongoing regulatory requirements applicable to manufacturing, labeling, packaging, storage, advertising, promoting, sampling, record-keeping and submission of safety or other post-market information, among other things. Any regulatory approvals that we receive for our product candidates will require surveillance to monitor the safety and efficacy of the product candidate, as well as ongoing compliance with cGMP and GCPs for any clinical trials. The FDA may also require a REMS, limitations on the approved indicated uses for which the drug may be marketed or to the conditions of approval, or requirements that we conduct potentially costly post-market testing and surveillance studies, including post-marketing clinical trials and surveillance to monitor the quality, safety and efficacy of the drug. An unsuccessful post-marketing study or failure to complete such a study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drug manufacturers are subject to payment of user fees and continual review and periodic inspections by the FDA and other regulatory authorities for compliance with cGMP requirements and adherence to commitments made in the NDA or foreign marketing application. If we, the FDA or a comparable foreign regulatory authority, discover previously unknown problems with our product candidates,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Failure to comply with applicable regulatory requirements following approval of any product candidates, may result in, among other things: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restrictions on the marketing or manufacturing of our product candidates, withdrawal of the product from the market or voluntary or mandatory product recalls;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delays and supply disruptions where regulatory inspections identify observations of noncompliance requiring remediation;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revisions to the labeling, including limitation on approved uses or the addition of additional warnings, contraindications or other safety information, including boxed warnings;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imposition of a REMS, which may include distribution or use restrictions;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requirements to conduct additional post-market clinical trials to assess the safety of the product;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suspension or withdrawal of regulatory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issuance of fines, untitled letters, warning letters or holds on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refusal by the FDA to approve pending applications or supplements to approved applications filed by us or suspension or revocation of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product seizure or detention, or refusal to permit the import or export of our product candidates;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injunctions or the imposition of civil or criminal penalties.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we may be subject to enforcement action,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0335"/>
                <wp:effectExtent l="0" t="0" r="0" b="0"/>
                <wp:wrapNone/>
                <wp:docPr id="64" name="Frame6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FDA and other regulatory agencies actively enforce the laws and regulations prohibiting the promotion of off-label uses.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approved products will be narrowly limited to those indications that are specifically approved by the FDA.</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and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Since we use the same drug delivery technology for all of our product candidates, if any of our product candidates demonstrates unanticipated biocompatibility, usability, performance or safety issues in a clinical or nonclinical study, our entire pipeline may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All of our current product candidates utilize the same sustained release drug delivery technology, which comprise non-bioerodible drug pads that are designed to deliver the drug into the eye without breaking down or changing their structure or shape. While our lead product candidate, the BIM-IOL System, has been well tolerated in clinical trials to date, patients may in the future experience different or more severe AEs. Any failure of a product candidate, or a component thereof, to demonstrate adequate biocompatibility, usability, performance or safety could adversely affect the development, approval, or commercialization of any other product candidate utilizing the same or similar technology, including a suspension or delay of all ongoing development for future product candidates.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Any product candidates we develop may become subject to unfavorable third-party coverage and reimbursement policies, as well as pricing regulations.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any of our product candidates that receive marketing approval will depend substantially, both in the United States and internationally, on the extent to which the costs of our product candidates will be covered and reimbursed by government and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There is significant uncertainty related to government and third-party payor coverage and reimbursement of newly approved products. In the United States, for example, the Centers for Medicare &amp; Medicaid Services (CMS), an agency within the U.S. Department of Health and Human Services (HHS), determines whether and to what extent a new product will be covered and reimbursed under Medicare.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if approved, to each third-party payor separately, with no assurance that coverage and adequate reimbursement will be applied consistently or obtained in the first instance.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anticipate that third-party payors will cover and reimburse providers for the bimatoprost delivered using the BIM-IOL System, if approved, similar to other physician-administered drugs. J-Codes are codes maintained by CMS, which are a component of the Healthcare Common Procedure Coding System and are typically used to report injectable drugs that ordinarily cannot be self-administered. We do not have a specific J-Code for any of our product candidates. If our product candidates are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0335"/>
                <wp:effectExtent l="0" t="0" r="0" b="0"/>
                <wp:wrapNone/>
                <wp:docPr id="65" name="Frame6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physician-administered drugs. Because miscellaneous J-Codes may be used for a wide variety of products, health plans may have more difficulty determining the actual product used and billed for the patient. These claims must often be submitted with additional information and manually processed, which can create delays in claims processing times as well as increasing the likelihood for claim denials and claim errors.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since our drug delivery technology is implanted into the eye via an existing procedure (cataract surgery) we believe that physicians will be able to use the existing Category I Current Procedural Terminology (CPT) codes without needing to establish a new procedure code. The CPT Editorial Panel, appointed by the American Medical Association (AMA) Board of Trustees, is responsible for maintaining and updating the CPT code set. We may apply for a new add-on Category III CPT code for the loading, implantation and position of the Drug Pad-IOL System. Category III codes are a set of temporary codes maintained by the AMA for emerging technology, services and procedures. Payment for these services or procedures are based on the coverage policies of individual payors, including private insurers and government-funded programs.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candidates.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if approved, may be reduced compared with the United States and may be insufficient to generate commercially reasonable revenue and profits. If we are unable to establish or sustain coverage and adequate reimbursement for any future product candidates from government and third-party payors, the adoption of those products and sales revenue will be adversely affected, which, in turn, could adversely affect the ability to market or sell those product candidates, if approved. Coverage policies and government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Disruptions at the FDA, the Securities and Exchange Commission (the SEC) and other government agencies caused by funding shortages, global health concerns, staffing limitations or otherwise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0335"/>
                <wp:effectExtent l="0" t="0" r="0" b="0"/>
                <wp:wrapNone/>
                <wp:docPr id="66" name="Frame6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face difficulties from changes to current regulations and future legislation.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we may be subject to enforcement action, and we may not achieve or sustain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United States,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(ACA), was enacted in 2010. The ACA contains a number of provisions, including those governing enrollments in federal healthcare programs, reimbursement changes and fraud and abuse measures, all of which will impact existing government healthcare programs and will result in the development of new programs. Since its enactment, there have been judicial, executive and Congressional challenges to certain aspects of the ACA. In June 2021, the U.S. Supreme Court dismissed the most recent judicial challenge to the ACA without specifically ruling on the constitutionality of the ACA. Thus, the ACA remains in force in its current form.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with the exception of a temporary suspension from May 1, 2020, through March 31, 2021, unless additional Congressional action is taken. Additionally, the American Taxpayer Relief Act of 2012, among other things, further reduced Medicare payments to several providers, including hospitals, and increased the statute of limitations period for the government to recover overpayments to providers from three to five years. The Medicare Access and CHIP Reauthorization Act of 2015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set a price that we believe is fair for our products;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our ability to generate revenue and achieve or maintain profitability; and </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availability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0335"/>
                <wp:effectExtent l="0" t="0" r="0" b="0"/>
                <wp:wrapNone/>
                <wp:docPr id="67" name="Frame6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HHS has and will continue to issue and update guidance as these programs are implemented, although the Medicare drug price negotiation program is currently subject to legal challenges. Various industry stakeholders, including certain pharmaceutical companies and the Pharmaceutical Research and Manufacturers of America, have initiated lawsuits against the federal government asserting that the price negotiation provisions of the IRA are unconstitutional. In June 2026, the CMS issued a proposed rule that would codify policies established in guidance documents for the Medicare Drug Price Negotiation Program for initial price applicability year 2029 and beyond. CMS plans to release guidance to implement policies related to the effectuation of the MFP for the Medicare Drug Price Negotiation Program for 2028, consistent with the Inflation Reduction Act.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Such cost containment policies and executive orders could substantially and negatively impact the prices we may charge for any approved products, which could harm our valuation, ability to generate revenue and achieve and sustain profitability.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the One Big Beautiful Bill Act (OBBBA), which was signed into law in July 2025, includes provisions that will impact the U.S.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The impact of ongoing and future judicial challenges, as well as future legislative, executive, and administrative actions and healthcare measures and agency rules implemented by the government on us and the pharmaceutical industry as a whole is unclear. To the extent changes lead to disruptions in federal agencies, greater uncertainty in the industry, or impose more constraints on drug pricing, such as the introduction of the most-favored nation pricing or international reference pricing, our business may be materially impacted. The implementation of cost containment measures or other healthcare reforms may negatively impact the valuation of our company and/or prevent us from being able to generate revenue, attain profitability, or commercialize our product candidates if approved.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0335"/>
                <wp:effectExtent l="0" t="0" r="0" b="0"/>
                <wp:wrapNone/>
                <wp:docPr id="68" name="Frame6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 candidates. Some states have also enacted legislation creating so-called prescription drug affordability boards, which ultimately may attempt to impose price limits on certain drugs in these states, while some states are also seeking to implement general, across-the-board price caps for pharmaceuticals, or are seeking to regulate drug distribution. Further, the FDA has authorized the State of Florida to develop a program to import certain prescription drugs from Canada for a limited time-period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products or product candidates.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changes in regulatory requirements and guidance may occur and we may need to amend clinical trial protocols of ongoing studies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Given the serious public health risks of certain AEs that may be associated with certain drug products, the FDA may require, as a condition of approval, costly REMS, which may include safety surveillance, restricted distribution and use, patient education, enhanced labeling, special packaging or labeling, expedited reporting of certain AEs, preapproval of promotional materials and restrictions on direct-to-consumer advertising.</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relationships with healthcare professionals, clinical investigators, CROs and third-party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Healthcare providers and third-party payors play a primary role in the recommendation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 candidates for which we obtain marketing approval. The applicable federal, state and foreign healthcare laws and regulations that may affect our ability to operate include, but are not limited to:</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A person or entity does not need to have actual knowledge of the federal Anti-Kickback Statute or specific intent to violate it in order to have committed a violation;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false claims, including the civil False Claims Act (the FCA),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 Moreover, the government may assert that a claim including items or services resulting from a violation of the federal Anti-Kickback Statute constitutes a false or fraudulent claim for purposes of the civil False Claims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0335"/>
                <wp:effectExtent l="0" t="0" r="0" b="0"/>
                <wp:wrapNone/>
                <wp:docPr id="69" name="Frame6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69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federal Open Payments program under the Physician Payments Sunshine Act, which requires certain manufacturers of covered drugs, devices, biologics and medical supplies for which payment is available under Medicare, Medicaid or the Children’s Health Insurance Program (with certain exceptions) and applicable group purchasing organizations to report annually to CMS information related to payments or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and information regarding ownership and investment interests held by physicians (as defined above) and their immediate family members;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and state laws that require biotechnology companies to report information on the pricing of certain drug products.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drug delivery and/or medical device products is subject to additional requirements and regulations, including extensive record-keeping, licensing, storage and security requirements intended to prevent the unauthorized sale of pharmaceutical, drug delivery and/or medical device products. Products must meet applicable child-resistant packaging requirements under the U.S. Poison Prevention Packaging Act as well as other applicable consumer safety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 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0335"/>
                <wp:effectExtent l="0" t="0" r="0" b="0"/>
                <wp:wrapNone/>
                <wp:docPr id="70" name="Frame7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global data protection landscape is rapidly evolving, and we are or may become subject to numerous state, federal and foreign laws, regulations, standards and other requirements governing the collection, use, disclosure, retention, processing and security of personal information, such as information collected or otherwise processed in connection with clinical trials. Implementation standards and enforcement practices are likely to remain uncertain for the foreseeable future, and we cannot yet determine the impact future laws, regulations, standards or other requirements, or perception of their respective obligations may have on our business. This may create uncertainty in our business, affect our ability to operate in certain jurisdictions or to collect, store, transfer, use, share and otherwise process personal information, necessitate the acceptance of more onerous obligations in our contracts, result in liability or impose additional costs on us. The cost of compliance with these laws, regulations, standards and other requirements is high and is likely to increase in the future. Any failure or perceived failure by us to comply with federal, state or foreign laws or regulations, our internal policies and procedures, our contracts, applicable standards or other actual or asserted requirements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our operations and business grow, we may become subject to or affected by new or additional laws, regulations, standards and other requirements applicable to the processing of personal information and face increased scrutiny or attention from regulatory authorities. For example, in the United States, HIPAA imposes, among other things, certain standards relating to the privacy, security, transmission and breach reporting of individually identifiable health information. Certain states have also adopted other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 behalf. Similar laws have been passed in other states and are continuing to be proposed at the state and federal level, and the U.S. Department of Justice has issued regulations restricting, and in certain cases prohibiting, certain transfers of sensitive personal information. Some U.S. states also have enacted laws and regulations addressing specific categories of data, such as Washington’s My Health, My Data Act, which, among other things, provides for a private right of action. Collectively, these reflect a trend toward more stringent privacy legislation in the United States. The enactment of such laws could have potentially conflicting requirements that would make compliance challenging. Additional compliance investment and potential business process changes may be required.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0335"/>
                <wp:effectExtent l="0" t="0" r="0" b="0"/>
                <wp:wrapNone/>
                <wp:docPr id="71" name="Frame7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work to comply with applicable laws, regulations and standards, our contractual obligations and other legal obligations, these and other actual or potentially asserted requirements are evolving and may be modified, interpreted and applied in an inconsistent manner from one jurisdiction to another, and may conflict with one another or other legal obligations. Any failure or perceived failure by us or our employees, representatives, contractors, consultants, collaborators or other third parties to comply with such requirements or adequately address concerns relating to privacy, security or data protection, even if unfounded, could result in additional cost and liability to us, damage our reputation and adversely affect our business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comply with environmental, health and safety laws and regulations, we could become subject to fines or penalties or incur costs that could have a material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Our Business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success is highly dependent on our ability to attract and retain highly skilled executive officers and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product candidates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including Dr. Kahook, our co-founder, president, chief medical officer and executive chair,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As of June 30, 2026, we had 76 full-time employees. We will need to expand our organization, and we may have difficulty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0335"/>
                <wp:effectExtent l="0" t="0" r="0" b="0"/>
                <wp:wrapNone/>
                <wp:docPr id="72" name="Frame7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rely, and expect to continue to rely, on third parties, including independent clinical investigators and CROs,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have relied upon and plan to continue to rely upon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scientific standards, and laws and regulations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these investigators and CROs are not our employees and we will not be able to control, other than by contract, the amount of resources, including time, which they devote to our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are not substantially dependent on any individual CRO arrangement, if any of our relationships with these third-party CROs terminate, we may not be able to enter into arrangements with alternative CROs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0335"/>
                <wp:effectExtent l="0" t="0" r="0" b="0"/>
                <wp:wrapNone/>
                <wp:docPr id="73" name="Frame7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contract with third parties for the manufacture of our product candidates for preclinical studies and our ongoing clinical trials and expect to continue to do so for additional clinical trials and ultimately for commercialization. This reliance on third parties increases the risk that we will not have sufficient quantities of our product candidates for clinical development or such quantities at an acceptable cost, which could delay, prevent or impair our development or commercialization efforts.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own any manufacturing facilities and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manufacture our product candidates for clinical development at our CMOs and source materials used in our product candidates from third parties and formulate them in a proprietary manufacturing process that we developed. We source IOLs manufactured to our specification from an ISO13485:2016-certified and FDA-registered CMO with a long history of producing commercial IOLs through a supply agreement with a 2-year notification period. We seek to strategically maintain sufficient levels of inventory to help mitigate supply disruption, to accommodate varying demand mix and to achieve more efficient volume-based pricing on our components; however, we may not be accurate in our estimates, which could result in insufficient inventory to meet clinical demand or excess inventory.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expect to continue to rely on third-party manufacturers for the commercial supply of any of our product candidates for which we obtain marketing approval. There are a limited number of manufacturers that operate under cGMP regulations and that are both capable of manufacturing for us and willing to do so.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reduction or termination of production or deliveries by suppliers, or the raising of prices or renegotiation of terms;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termination or nonrenewal of arrangements or agreements by our third-party contractors at a time that is costly or inconvenient for us;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breach by the third-party contractors of our agreements with them;</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reduced day-to-day control over the manufacturing process for our product candidates as a result of using third-party manufacturers for all aspects of manufacturing activities;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third-party contractors to comply with applicable regulatory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failure of the third party to manufacture our product candidates according to our specifications;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mislabeling of clinical supplies, potentially resulting in the wrong dose amounts being supplied or active drug or placebo not being properly identified;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misappropriation of our proprietary information, including our trade secrets and know-how.</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do not have complete control over all aspects of the manufacturing process of, and are dependent on, our CMOs for compliance with cGMP regulations for manufacturing both active drug substances and finished drug products. Third-party manufacturers may not be able to comply with cGMP regulations or similar regulatory requirements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0335"/>
                <wp:effectExtent l="0" t="0" r="0" b="0"/>
                <wp:wrapNone/>
                <wp:docPr id="74" name="Frame7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problems or delays we or our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any of our product candidates are approved and we or our CMOs fail to deliver the required commercial quantities of such product on a timely basis and at reasonable costs, we would likely be unable to meet demand for our products and we would lose potential revenues, which would adversely affect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CMOs’ manufacturing facilities may also be unable to comply with our specifications, cGMP, or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 candidates to specifications acceptable to the FDA or other regulatory authorities, or in accordance with the strict regulatory requirements, we may not obtain or maintain the approvals we need to commercialize such product candidates. For example, manufacturing facilities generally must submit to FDA pre-approval inspections that will be conducted after we submit marketing applications, including our planned NDAs, to the FDA, and any inability on the part of our CMOs to successfully complete such pre-approval inspections could delay or prevent commercialization of our product candidates.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if approved, commercial sales or the temporary or permanent closure of a facility. Any such remedial measures imposed upon us or third parties with whom we contract could materially harm our business, financial condition, results of operations, and prospects.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any approved products, clinical holds or termination of clinical trials, warning or untitled letters, regulatory authority communications warning the public about safety issues, refusal to permit the import or export of such products, product seizure, detention, or recall, operating restrictions, suits under the civil False Claims Act, corporate integrity agreements, consent decrees, or withdrawal of product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engage in acquisitions, in-licensing or strategic partnerships in the future, this may increase our capital requirements, dilute our stockholders, cause us to incur debt or assume contingent liabilities and subject us to other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engage in various acquisitions and strategic partnerships in the future, including additional licensing arrangements with third parties or acquiring complementary products or product candidates, intellectual property rights, technologies or businesses, joint ventures or other collaborations. Any acquisition or strategic partnership may entail numerous risks,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increased operating expenses and cash requirements;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assumption of indebtedness or contingent liabilities;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issuance of our equity securities which would result in dilution to our stockholders;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assimilation of operations, intellectual property, products and product candidates of an acquired company, including difficulties associated with integrating new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diversion of our management’s attention from our existing product candidates and initiatives in pursuing such an acquisition or strategic partnership or in order to manage a collaboration or develop acquired products, product candidates, or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0335"/>
                <wp:effectExtent l="0" t="0" r="0" b="0"/>
                <wp:wrapNone/>
                <wp:docPr id="75" name="Frame7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retention of key employees, the loss of key personnel, and uncertainties in our ability to maintain relationships with key suppliers, manufacturers or customers and any other key business relationships of any acquired business;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risks and uncertainties associated with the other party to such a transaction, including the prospects of that party and their existing products or product candidates and regulatory approvals;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higher than expected collaboration, acquisition or integration costs, write-downs of assets or goodwill or impairment charges;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inability to generate revenue from acquired intellectual property, technology and/or product candidates sufficient to meet our objectives or even to offset the associated transaction and maintenance costs.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if we undertake such a transaction, we may incur large one-time expenses and acquire intangible assets that could result in significant future amortization expense.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a result, if we enter into acquisitions, in-licensing or strategic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an acquisition, strategic transaction or license, we will achieve the revenue or specific net income that justifies such transaction or such other benefits that led us to enter into the arrangement.</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have identified a material weakness in our internal control over financial reporting which, if not remediated, could cause us to fail to timely and accurately report our financial results or prevent fraud, result in restatements of our financial statements and could subject our stock to delisting. As a consequence, stockholders could lose confidence in our financial reporting and our stock price could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preparation of our financial statements included elsewhere in this Quarterly Report,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our financial statements will not be prevented or detected on a timely basis. If one or more material weaknesses persist or if we fail to establish and maintain effective internal control over financial reporting, our ability to accurately report our financial results could be adversely affected. In particular, we concluded that we had control deficiencies related to an insufficient complement of personnel with an appropriate level of technical knowledge for oversight of specialists and to create the proper environment for effective internal control over financial reporting, the lack of an effective risk assessment process, the lack of formalized processes and control activities to support the appropriate segregation of duties over the review of account reconciliations and journal entries, and the lack of monitoring and communication of control processes and relevant accounting policies and procedures. Management is taking steps to remediate this material weakness in our internal control over financial reporting, including hiring additional accounting personnel to assume transaction level responsibilities to appropriately segregate duties between preparers and reviewers, instituting an effective risk assessment process, and formalizing a framework for control activities to support appropriate segregation of duties.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a public company, we are required to file annual and quarterly reports containing our financial statements and are subject to the requirements and standards set by the SEC, the Public Company Accounting Oversight Board (PCAOB) and Nasdaq. If we fail to remediate our material weaknesses or to otherwise develop and maintain adequate internal control over financial reporting, we could fail to timely and accurately report our financial results or prevent fraud, have to restate our financial statements or have our stock delisted. Any such failure could also adversely affect the results of periodic management evaluations regarding the effectiveness of our internal control over financial reporting that will be required when the SEC's rules under Section 404 of the Sarbanes-Oxley Act of 2002 become applicable to us beginning with our annual report on Form 10-K for the year following our first annual report on Form 10-K required to be filed with the SEC. As a result, stockholders could lose confidence in our financial reporting and we could be subject to litigation from investors and stockholders, we could be subject to sanctions or investigations by the SEC, Nasdaq or other regulatory authorities, our access to the capital markets may be restricted and the trading price of our common stock could suffer.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While we are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material weakness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0335"/>
                <wp:effectExtent l="0" t="0" r="0" b="0"/>
                <wp:wrapNone/>
                <wp:docPr id="76" name="Frame7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internal computer systems, or those of any of our CROs, manufacturers, other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 and potentially significant delays in our delivery to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Despite the implementation of security measures in an effort to protect systems that store our information, given their size and complexity and the increasing amounts of information maintained on our internal information technology systems and external processing and storage systems (e.g., cloud), and those of our third-party CROs, other contractors (including sites performing our current or future clinical trials) and consultants and other third-party service providers, these systems are from time to time vulnerable to breakdown or other damage, disruption or interruption from service interruptions, system malfunction, power outages, natural disasters, global pandemics, terrorism, vandalism,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viruses, denial-of-service attacks, phishing attacks and other forms of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unauthorized access to, misuse, disclosure, loss, destruction, alteration, dissemination or other processing of, or damage to, our data, including trade secrets or other confidential information, intellectual property, proprietary business information, and personal information. Several companies have also experienced an increase in phishing and social engineering attacks from third parties in recent years. For example, in June 2025, we received fraudulent wire instructions from a bad actor impersonating a third-party vendor, which resulted in our use of incorrect banking information to wire an immaterial amount of funds. Our employees primarily work from the corporate office but also have the ability to work in a hybrid model in our offices and from home, and we may need to adjust our working model from time to time. As a result, we have increased cyber security and data security risks, due to increased use of home wi-fi networks and virtual private networks, as well as increased disbursement of physical machines. While we implement controls designed to reduce the risk of a resulting security breach or other security incident, we may experience security breaches and incidents, and there is no guarantee that the measures we have implemented will be adequate to safeguard all systems and data, especially with an increased number of employees working from home or in a hybrid model where it is more difficult for us to monitor our employees.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cyber-attack, disruption or other security breach or incident, including any such event resulting in any unauthorized, unlawful, or accidental access to, or acquisition, use, corruption, loss, destruction, unavailability, alteration or dissemination of, or damage to, our data (including confidential or personal information) or other data we or any of our CROs, other contractors or consultants or potential future collaborators or other third-party service providers maintain or otherwise process, or our applications, or for it to be believed or reported that any of these occurred, could result in us incurring liability and reputational damage and delays in the development and commercialization of our product candidates. For example, if a security incident were to result in interruptions in our operations, it could result in a material disruption of our programs and the development of our product candidates could be delayed. In addition, the loss or unavailability of clinical trial data for our product candidates could result in delays in our marketing approval efforts and significantly increase our costs to recover or reproduce the data. Furthermore, disruptions of our internal information technology systems or those of third parties used in our business, or security breaches or incidents impacting us or any of our CROs, other contractors or consultants or potential future collaborators or other third-party service providers, could result in the loss, misappropriation, and/or unauthorized access, use, or disclosure of, or the inability to access, data (including trade secrets or other confidential information, intellectual property, proprietary business information, and personal information), which could result in financial, legal, business, and reputational harm to us. Unauthorized access to, or use, disclosure or other processing of personal information, including personal information regarding our clinical trial subjects or employees, could harm our reputation directly, compel us to notify individuals or regulators under data breach notification laws, cause us to incur costs related to investigation of the incident (including legal expenses, forensic examination costs, and remediation costs),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expect to incur significant costs in our efforts to detect, prevent, and respond to security incidents. We also rely on third parties to manufacture our product candidates, and similar events relating to their systems could also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0335"/>
                <wp:effectExtent l="0" t="0" r="0" b="0"/>
                <wp:wrapNone/>
                <wp:docPr id="77" name="Frame7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material adverse effect on our business. There have been and may continue to be significant supply chain attacks and operational technology attacks globally, and we cannot guarantee that our systems or those of third-party service providers or other third parties that support us or our operations have not been subject to security breaches or incidents or that they do not contain exploitable defects or bugs that could result in a security breach of, security incident impacting or other disruption to, our systems and the systems of third parties that support us and our operations. Any cyber-attack, disruption or other security breach or incident, including any such event resulting in any loss, unavailability, destruction or alteration of, or damage to, our data, or inappropriate acquisition, disclosure or other processing of confidential or proprietary information, could expose us to litigation and governmental investigations and other actions and proceedings, delay further development and commercialization of our product candidates, and result in our being subject to significant fines, penalties or other liabilities. Litigation and governmental investigations or other actions or proceedings could require us to spend money in defense or settlement, divert management’s time and attention, increase our costs of doing business, and/or adversely affect our reputation. We could be required to fundamentally change our business activities and practices in response to such litigation or investigations or other actions or proceedings, which could have an adverse effect on our business. Any actual or perceived inability by ourselves or any of our CROs, other contractors or consultants or potential future collaborators or other third-party service providers to adequately protect data have a material adverse effect upon our reputation, business, operations, or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insurance policies may not be adequate to compensate us for the potential losses arising from any such disruption in or, failure or security breach of, or incident impacting, our systems or third-party systems where information important to our business operations or commercial development is maintained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business could be affected by litigation, government investigations, and enforcement actions.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data privacy and security,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 variety of risks associated with marketing our product candidates internationally could materially adversely affect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may seek to develop regulatory strategies for our product candidates outside the United States and, if we do so, we expect that we or our partners would seek regulatory approval of our product candidates outside of the United States. If we do seek to market our product candidates outside the United States, we will be subject to additional risks related to operating in foreign countries if we or our such partners obtain the necessary approvals, including: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differing regulatory requirements and pricing regimes in foreign countries;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unexpected changes in tariffs, trade barriers, price and exchange controls and other regulatory requirements;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economic weakness, including inflation, or political instability in particular foreign economies and markets;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compliance with tax, employment, immigration and labor laws for employees living or traveling abroad;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foreign taxes, including withholding of payroll taxes; </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foreign currency fluctuations, which could result in increased operating expenses and reduced revenue, and other obligations incident to doing business in another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0335"/>
                <wp:effectExtent l="0" t="0" r="0" b="0"/>
                <wp:wrapNone/>
                <wp:docPr id="78" name="Frame7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difficulties staffing and managing foreign operations;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workforce uncertainty in countries where labor unrest is more common than in the United States;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potential liability under the U.S. Foreign Corrupt Practices Act (FCPA) or comparable foreign regulations;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production shortages resulting from any events affecting raw material supply or manufacturing capabilities abroad;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business interruptions resulting from geopolitical actions, including war and terrorism.</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and other risks associated with our international operations or those of any applicable international partners may materially adversely affect our ability to attain or maintain profitable operations.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Ownership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An active, liquid and orderly market for our common stock may not develop, or if it is developed, may not be sustained, or we may in the future fail to satisfy the continued listing requirements of Nasdaq, and, as a result, it may be difficult for you to sell your shares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Prior to our IPO, there was no public market for our common stock. Although our common stock is listed on the Nasdaq Global Select Market under the symbol “SGP,” an active trading market for our common stock may not develop, of if it is developed, may not be sustained and the trading market may be limited.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in the future, we fail to satisfy the continued listing requirements of Nasdaq, such as the corporate governance requirements, the minimum closing bid price requirement or the minimum stockholders’ equity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The trading price of our common stock may be highly volatile, and you could lose all or part of your investment.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trading price of our common stock may be highly volatile and could be subject to fluctuations in response to various factors, some of which are beyond our control. The stock market in general and the market for stock of biopharmaceutical companies in particular have experienced extreme volatility that has often been unrelated to the operating performance of particular companies. Factors that could cause fluctuations in the trading price of our common stock include those discussed in this “Risk Factors” section and many others, including the following:</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results of our clinical trials and preclinical studies, and the results of trials of our competitors or those of other companies in our market sector;</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enroll patients in our future clinical trials;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our ability to obtain and maintain regulatory approval of any of our current or future product candidates or additional indications thereof, or limitations to specific label indications or patient populations for its use, or changes or delays in the regulatory review process;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the structure of healthcare payment systems;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success or failure of our efforts to develop, acquire or license any of our current or future product candidates;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innovations, clinical trial results, product approvals and other developments regarding our competitors;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announcements by us or our competitors of significant acquisitions, strategic partnerships, joint ventures or capital commitments;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manufacturing, supply or distribution delays or shortages;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0335"/>
                <wp:effectExtent l="0" t="0" r="0" b="0"/>
                <wp:wrapNone/>
                <wp:docPr id="79" name="Frame7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79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any changes to our relationship with any manufacturers, suppliers, collaborators or other strategic partners;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achievement of expected product sales and profitability;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variations in our financial results or development timelines or those of companies that are perceived to be similar to us, including variations from expectations of securities analysts or investors;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price and volume fluctuations in the overall stock market from time to time;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sales of shares of our common stock by us, our insiders or our stockholders, as well as the expiration of market standoff or lock-up agreements;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recruitment or departure of senior management, directors or key personnel;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the public’s reaction to our press releases, other public announcements and filings with the SEC;</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rumors and market speculation involving us or other companies in our industry;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fluctuations in the trading volume of our shares or the size of our public float;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variations in our financial results or development timelines or those of companies that are perceived to be similar to us, including variations from expectations of securities analysts or investors;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market conditions in the biopharmaceutical sector and failure of securities analysts to maintain coverage of us;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litigation involving us, our industry or both;</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governmental or regulatory actions or audits;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regulatory or legal developments in the United States and other countries;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general economic, industry, geopolitical and market conditions, such as military conflict or war, inflation and financial institution instability, or pandemic or epidemic disease outbreaks, many of which are beyond our control;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intellectual property, product liability or other litigation against us or our inability to enforce our intellectual property;</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our capital structure, such as future issuances of securities and the incurrence of debt;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changes in accounting standards, policies, guidelines, interpretations or principles.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in the past, stockholders have initiated class action lawsuits against biopharmaceutical companies following periods of volatility in the market prices of these companies’ stock. This litigation, if instituted against us, could cause us to incur substantial costs, divert our management’s attention and resources and damage our reputation, which could have a material adverse effect on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July 29, 2026, our directors, executive officers, holders of more than 5% of our common stock and their respective affiliates beneficially owned, in the aggregate, approximately 81% of the shares of our outstanding common stock. As a result, these stockholders, if they act together, will be able to influence our management and affairs and all matters requiring stockholder approval, including the election of directors, amendments of our organizational documents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in control of our company and might affect the market price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A significant portion of our outstanding shares of common stock were initially restricted from immediate resale in connection with the closing of our IPO but the restrictions have expired and such shares may now be sold into the market, which could cause the market price of our common stock to decline significantly, even if our business is doing well.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As of July 29, 2026, we had 33,447,979 shares of common stock outstanding. All of these shares are currently freely tradable without restriction in the public market, other than shares held by our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0335"/>
                <wp:effectExtent l="0" t="0" r="0" b="0"/>
                <wp:wrapNone/>
                <wp:docPr id="80" name="Frame8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on February 6, 2026, we filed a registration statement on Form S-8 under the Securities Act registering the issuance of 7,756,513 shares of common stock subject to options or other equity awards issued or reserved for future issuance under our equity incentive plans. Subject to the satisfaction of applicable vesting restrictions, the shares issued upon exercise of outstanding stock options will be available for immediate resale in the public market.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Moreover, stockholders owning an aggregate of up to 20,341,968 shares of our common stock are entitled, under our investors’ rights agreement, to certain rights with respect to the registration of the offer and resale of those shares under the Securities Act. Registration of these shares under the Securities Act would result in the shares becoming freely tradable without restriction under the Securities Act, except for shares held by affiliates, as defined in Rule 144 under the Securities Act.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Sales of our common stock or the exercise of registration rights by our stockholders may make it more difficult for us to sell equity securities in the future at a time and at a price that we deem appropriate. These sales also could cause the trading price of our common stock to fall and make it more difficult for you to sell shares of our common stock at a time and price that you deem appropriate.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Until such time, if ever, as we can generate substantial revenues, we expect that we will need additional capital in the future to continue our planned operations, which include conducting clinical trials, pursuing commercialization efforts, expanding research and development activities, and operating as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our IPO.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our 2026 Equity Incentive Plan (2026 Plan), our board of directors or its duly authorized committee is authorized to grant equity awards to our employees, directors, and consultants.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Initially, a total of 4,116,060 shares of our common stock were reserved for issuance pursuant to our 2026 Plan, which number is inclusive of shares that remained available for grant under our 2019 Equity Incentive Plan (2019 Plan) as of the effectiveness of the 2026 Plan. In addition, the shares reserved for issuance under our 2026 Plan also includes shares of our common stock subject to or issued pursuant to awards granted under our 2019 Plan that, after the date of stockholder approval of the 2026 Plan, expired or otherwise terminated without having been exercised in full or are forfeited to or repurchased by us due to failure to vest (provided that the maximum number of shares that may be added to the 2026 Plan pursuant to the foregoing is 3,306,187 shares). The number of shares of our common stock reserved for issuance under the 2026 Plan shall be cumulatively increased on the first day of each fiscal year, beginning with our 2027 fiscal year and ending on the ten year anniversary of the date our board of directors approves the 2026 Plan equal to the least of 10,027,967 shares, 5.0% of the total number of shares of our common stock outstanding as of the last day of the immediately preceding fiscal year, or a lesser number of shares determined by the administrator of the 2026 Plan. Unless the administrator of the 2026 Plan elects not to increase the number of shares available for future grant each year, our stockholders may experience additional dilution, which could cause our stock price to fall.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 pursuant to our 2026 Employee Stock Purchase Plan (ESPP), our employees may receive the right to purchase shares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Initially, the aggregate number of shares of our common stock available for sale under our ESPP is 334,266 shares. The number of shares of our common stock available for sale under our ESPP shall be cumulatively increased on the first day of each fiscal year, beginning with the fiscal year following the fiscal year in which the first enrollment date (if any) occurs under the ESPP and ending on the twenty year anniversary of the date our board of directors approves the ESPP equal to the least of 1,002,797 shares, 1.0% of the total number of shares of our common stock outstanding as of the last day of the immediately preceding fiscal year, or a lesser number of shares determined by the administrator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0335"/>
                <wp:effectExtent l="0" t="0" r="0" b="0"/>
                <wp:wrapNone/>
                <wp:docPr id="81" name="Frame8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81</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of the ESPP. Unless the administrator of the ESPP elects not to increase the number of shares available for future grant each year, our stockholders may experience additional dilution, which could cause our stock price to fall.</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board of directors is authorized to issue and designate shares of our redeemable convertible preferred stock in additional series without stockholder approval.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amended and restated certificate of incorporation authorizes our board of directors, without the approval of our stockholders, to issue shares of our redeemable convertible preferred stock, subject to limitations prescribed by applicable law, rules and regulations and the provisions of our amended and restated certificate of incorporation, as shares of redeemable convertible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redeemable convertible preferred stock may be senior to or on parity with our common stock, which may reduce its value.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an “emerging growth company” and, due to the reduced reporting requirements applicable to emerging growth companies, certain investors may find investing in our common stock less attractive.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an emerging growth company, as defined in the Jumpstart Our Business Startups Act (JOBS Act). As a result of this status, we have taken advantage of reduced reporting requirements in this Quarterly Report and, for as long as we continue to be an emerging growth company, we may continue to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(Sarbanes-Oxley Act), reduced disclosure obligations regarding executive compensation, and exemptions from the requirements of holding nonbinding advisory votes on executive compensation and stockholder approval of any golden parachute payments not previously approved. We will remain an emerging growth company until the earlier of (1) the last day of the fiscal year (a) following the fifth anniversary of the closing of our IPO (i.e., December 31, 2031, (b) in which we have total annual gross revenue of at least $1.235 billion, or (c) in which we are deemed to be a large accelerated filer, which requires, among other things, that the market value of our common stock that is held by non-affiliates to exceed $700 million as of the prior June 30th, and (2) the date on which we have issued more than $1 billion in non-convertible debt during the prior three-year period.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we are also a non-accelerated filer at that time) and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the JOBS Act, emerging growth companies can also delay adopting new or revised accounting standards until such time as those standards apply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 As a result, changes in rules of GAAP or their interpretation, the adoption of new guidance, or the application of existing guidance to changes in our business could significantly affect our financial position and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do not anticipate paying cash dividends for the foreseeable future, and therefore investors should not buy our stock if they wish to receive cash dividends. Investors may never obtain a return on their investment.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You should not rely on an investment in our common stock to provide dividend income. 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0335"/>
                <wp:effectExtent l="0" t="0" r="0" b="0"/>
                <wp:wrapNone/>
                <wp:docPr id="82" name="Frame8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82</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Delaware law and provisions in our amended and restated certificate of incorporation and amended and restated bylaws might delay, discourage or prevent a change in control of our company or changes in our management, thereby depressing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or delay or prevent changes in control of our management. Among other things, these provisions: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authorize our board of directors to issues shares of preferred stock and determine the price and other terms of those shares, including preferences and voting rights, without stockholder approval;</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permit only the board of directors to establish the number of directors and fill vacancies on the board;</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establish that our board of directors is divided into three classes, Class I, Class II and Class III, with each class serving staggered three-year terms;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for so long as our board of directors is classified, and subject to the rights of holders of our preferred stock, provide that our directors may only be removed by stockholders for cause;</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permit stockholders to only take actions at a duly called annual or special meeting and not by written consent;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 that stockholders give advance notice to nominate directors or submit proposals for consideration at stockholder meetings;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eliminate cumulative voting in the election of directors;</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prohibit stockholders from calling a special meeting of stockholders; and</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require a super-majority vote of stockholders to amend some of the provisions described above.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amended and restated bylaws designate a state or federal court located within the State of Delaware as the exclusive forum for substantially all disputes between us and our stockholders, and also provide that the federal district courts is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would not apply to any action brought to enforce a duty or liability created by the Exchange Act and the rules and regulations thereunder.</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0335"/>
                <wp:effectExtent l="0" t="0" r="0" b="0"/>
                <wp:wrapNone/>
                <wp:docPr id="83" name="Frame8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83</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240"/>
        <w:jc w:val="left"/>
        <w:rPr>
          <w:rFonts w:ascii="Trade Gothic;sans-serif" w:hAnsi="Trade Gothic;sans-serif"/>
          <w:b w:val="false"/>
          <w:color w:val="000000"/>
          <w:sz w:val="19"/>
          <w:shd w:fill="FFFFFF" w:val="clear"/>
        </w:rPr>
      </w:pPr>
      <w:r>
        <w:rPr>
          <w:rFonts w:ascii="Trade Gothic;sans-serif" w:hAnsi="Trade Gothic;sans-serif"/>
          <w:b w:val="false"/>
          <w:color w:val="000000"/>
          <w:sz w:val="19"/>
          <w:shd w:fill="FFFFFF" w:val="clear"/>
        </w:rPr>
        <w:t>Further, the enforceability of similar exclusive forum provisions in other companies’ organizational documents have been challenged in legal proceedings, and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all of which could harm our results of operations.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240"/>
        <w:jc w:val="left"/>
        <w:rPr/>
      </w:pPr>
      <w:r>
        <w:rPr>
          <w:rFonts w:ascii="Trade Gothic;sans-serif" w:hAnsi="Trade Gothic;sans-serif"/>
          <w:b w:val="false"/>
          <w:color w:val="000000"/>
          <w:sz w:val="19"/>
        </w:rPr>
        <w:t xml:space="preserve">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 xml:space="preserve">certificate of incorporation and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provide that we will indemnify our directors and officers, in each case to the fullest extent permitted by Delaware law. 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40"/>
        <w:jc w:val="left"/>
        <w:rPr/>
      </w:pPr>
      <w:r>
        <w:rPr>
          <w:rFonts w:ascii="Trade Gothic;sans-serif" w:hAnsi="Trade Gothic;sans-serif"/>
          <w:b w:val="false"/>
          <w:color w:val="000000"/>
          <w:sz w:val="19"/>
        </w:rPr>
        <w:t xml:space="preserve">In addition, as permitted by Section 145 of the Delaware General Corporation Law,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and our indemnification agreements that we have entered into with our directors and officers provide that:</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in our discretion, indemnify employees and agents in those circumstances where indemnification is permitted by applicable law.</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We are not obligated pursuant to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0" w:after="10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 xml:space="preserve">The rights conferred in our </w:t>
      </w:r>
      <w:r>
        <w:rPr>
          <w:rFonts w:ascii="Trade Gothic;sans-serif" w:hAnsi="Trade Gothic;sans-serif"/>
          <w:b w:val="false"/>
          <w:color w:val="000000"/>
          <w:sz w:val="19"/>
          <w:shd w:fill="FFFFFF" w:val="clear"/>
        </w:rPr>
        <w:t xml:space="preserve">amended and restated </w:t>
      </w:r>
      <w:r>
        <w:rPr>
          <w:rFonts w:ascii="Trade Gothic;sans-serif" w:hAnsi="Trade Gothic;sans-serif"/>
          <w:b w:val="false"/>
          <w:color w:val="000000"/>
          <w:sz w:val="19"/>
        </w:rPr>
        <w:t>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40"/>
        <w:ind w:left="0" w:right="0" w:hanging="360"/>
        <w:jc w:val="left"/>
        <w:rPr/>
      </w:pPr>
      <w:r>
        <w:rPr>
          <w:rFonts w:ascii="Wingdings;sans-serif" w:hAnsi="Wingdings;sans-serif"/>
          <w:b w:val="false"/>
          <w:color w:val="000000"/>
          <w:sz w:val="14"/>
        </w:rPr>
        <w:t>n</w:t>
      </w:r>
      <w:r>
        <w:rPr>
          <w:rFonts w:ascii="Trade Gothic;sans-serif" w:hAnsi="Trade Gothic;sans-serif"/>
          <w:b w:val="false"/>
          <w:color w:val="000000"/>
          <w:sz w:val="19"/>
        </w:rPr>
        <w:t>We may not retroactively amend our bylaw provisions to reduce our indemnification obligations to directors, officers, employees and agents.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To the extent that a claim for indemnification is brought by any of our directors or officers, it would reduce the amount of funds available for use in our business.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General Risk Factors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will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As a public company, we will incur substantial legal, accounting and other expenses that we did not incur as a private company, and these expenses may increase even more after we are no longer an “emerging growth company.” For example, we will be subject to the reporting requirements of the Exchange Act, the Sarbanes-Oxley Act, the Dodd-Frank Wall Street Reform and Consumer Protection Act of 2010, the rules and regulations of the SEC and the listing standards of Nasdaq. Our management and other personnel will need to devote a substantial amount of time to compliance with these requirements and we expect these rules and regulations to substantially increase our legal and financial compliance costs. For example, we expect these rules and regulations to make it more expensive for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0335"/>
                <wp:effectExtent l="0" t="0" r="0" b="0"/>
                <wp:wrapNone/>
                <wp:docPr id="84" name="Frame8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84</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we will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Quarterly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increased costs and demands upon management could adversely affect our business, results of operations and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fail to establish and maintain proper and effective internal control over financial reporting, our operating results and our ability to operate our business could be harmed.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Section 404 of Sarbanes-Oxley, our management will be required to report upon the effectiveness of our internal control over financial reporting beginning with the second annual report following the completion of our IPO. When we lose our status as an “emerging growth company” and do not otherwise qualify as a non-accelerated filer, our independent registered public accounting firm will be required to attest to the effectiveness of our internal control over financial reporting. Ensuring that we have adequate internal financial and accounting controls and procedures in place so that we can produce accurate financial statements on a timely basis is a costly and time-consuming effort that needs to be evaluated frequently. Our internal control over financial reporting is a process designed to provide reasonable assurance regarding the reliability of financial reporting and the preparation of financial statements in accordance with GAAP. We have begun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that we will need as a public company.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Implementing any appropriate changes to our internal controls entails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We may discover significant deficiencies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 addition, investors’ perceptions that our internal controls are inadequate or that we are unable to produce accurate financial statements on a timely basis may harm our stock price and make it more difficult for us to effectively market and sell our service to new and existing customers.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The preparation of financial statements in conformity with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0335"/>
                <wp:effectExtent l="0" t="0" r="0" b="0"/>
                <wp:wrapNone/>
                <wp:docPr id="85" name="Frame8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85</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we are unable to maintain effective disclosure controls and procedures, our business, financial position and results of operations could be adversely affected.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other internal controls and procedures, no matter how well-conceived and operated, can provide only reasonable, not absolute, assurance that the objectives of the control system are met.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If securities or industry analysts either do not publish research about us or publish inaccurate or unfavorable research about us, our business or our market, or if they adversely change their recommendations regarding our common stock, the trading price or trading volume of our common stock could decline.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trading market for our common stock will be influenced in part by the research and reports that securities or industry analysts may publish about us, our business, our market or our competitors. If one or more securities analysts initiate research with an unfavorable rating or downgrade our common stock, provide a more favorable recommendation about our competitors or publish inaccurate or unfavorable research about our business, our common stock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common stock to decline.</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insurance policies may be inadequate, may not cover all of our potential liabilities and may potentially expose us to unrecoverable risks.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We do not carry insurance for all categories of risk that our business may encounter. Some of the policies we currently maintain include property, general liability, employee benefits liability, business automobile, workers’ compensation, clinical trials/products liability, cybersecurity liability, directors’ and officers’, crime, fiduciary, and employment practices insurance. We do not know, however, if we will be able to maintain insurance with adequate levels of coverage. No assurance can be given that an insurance carrier will not seek to cancel or deny coverage after a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0335"/>
                <wp:effectExtent l="0" t="0" r="0" b="0"/>
                <wp:wrapNone/>
                <wp:docPr id="86" name="Frame8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86</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although we are dependent on certain key personnel, we do not have key person life insurance policies on any such individuals. Therefore, if any of our key personnel die or become disabled, the loss of such person could materially adversely affect our business, financial condition, results of operations and growth prospects.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 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they are approved and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could be subject to securities class action litigation, which is expensive and could divert management attention.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operating results, or financial condition.</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Our ability to use our net operating loss carryforwards and certain other tax attributes may be limited.</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 xml:space="preserve">As of December 31, 2025, we had U.S. federal and state net operating loss (NOL) carryforwards of $76.5 million and $5.0 million, respectively, which may be available to offset future taxable income for U.S. income tax purposes. The federal NOL carryforwards may be carried forward indefinitely. State NOL carryforwards begin to expire in 2029, unless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0335"/>
                <wp:effectExtent l="0" t="0" r="0" b="0"/>
                <wp:wrapNone/>
                <wp:docPr id="87" name="Frame8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87</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previously utilized. In addition, we had federal and state tax credit carryforwards totaling $3.3 million and $4.2 million, respectively. The federal tax credit carryforwards will begin to expire in 2039 unless previously utilized. The state tax credit carryforwards may be carried forward indefinitely.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Under current law, U.S. federal NOLs generated in taxable periods beginning after December 31, 2017, will not expire and may be carried forward indefinitely, but the deductibility of such NOL carryforwards in a taxable year is limited to 80% of current year taxable income (with certain adjustments). Many state jurisdictions conform to federal law for this purpose or have other provisions that limit the deductibility of state NOL carryforwards in a taxable period. In addition, under Sections 382 and 383 of the Code, U.S.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of equity by more than 50 percentage points (by value) within a rolling three-year period. To the extent we have experienced or will experience an ownership change(s) (which may be outside of our control), our ability to utilize our NOL carryforwards and other tax attributes to offset future taxable income or tax liabilities may be limited. If we earn taxable income, such limitations could result in increased future income tax liability to us, and our future cash flows could be adversely affected.</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We may be subject to adverse legislative or regulatory tax changes that could negatively impact our financial condition.</w:t>
      </w:r>
    </w:p>
    <w:p>
      <w:pPr>
        <w:pStyle w:val="TextBody"/>
        <w:bidi w:val="0"/>
        <w:spacing w:lineRule="auto" w:line="268" w:before="0" w:after="0"/>
        <w:jc w:val="left"/>
        <w:rPr>
          <w:rFonts w:ascii="Trade Gothic;sans-serif" w:hAnsi="Trade Gothic;sans-serif"/>
          <w:b w:val="false"/>
          <w:color w:val="000000"/>
          <w:sz w:val="19"/>
        </w:rPr>
      </w:pPr>
      <w:r>
        <w:rPr>
          <w:rFonts w:ascii="Trade Gothic;sans-serif" w:hAnsi="Trade Gothic;sans-serif"/>
          <w:b w:val="false"/>
          <w:color w:val="000000"/>
          <w:sz w:val="19"/>
        </w:rPr>
        <w:t>We are or may become subject to income and non-income taxes in the United States under federal, state, and local jurisdictions in which we may operate. The rules dealing with U.S. federal, state, and local income and non-income taxation are constantly under review by persons involved in the legislative process and by the U.S. Internal Revenue Service (IRS), the U.S. Treasury Department and other applicable tax authorities. Changes to tax laws (which changes may have retroactive application) or in their implementation or interpretation could adversely affect us or our stockholders. We continually assess the impact of various tax reform proposals in all jurisdictions where we have operations to determine the potential effect on our business and any assumptions we will make about our future taxable income. For example, U.S. federal income tax legislation commonly referred to as the One Big Beautiful Bill Act (OBBBA) was enacted in July 2025. The OBBBA did not have a material impact on our financial statements for the period ended June 30, 2026 and for the year ended December 31, 2025. We continue to evaluate the implications of this legislation on future periods. We cannot predict whether any specific proposals will be enacted, the terms of any such proposals or what effect, if any, such proposals would have on our business if they were to be enacted. Any such changes, among others, may adversely affect our effective tax rate, results of operations, and general business condition.</w:t>
      </w:r>
    </w:p>
    <w:p>
      <w:pPr>
        <w:pStyle w:val="TextBody"/>
        <w:bidi w:val="0"/>
        <w:spacing w:before="0" w:after="0"/>
        <w:jc w:val="left"/>
        <w:rPr/>
      </w:pPr>
      <w:r>
        <w:rPr/>
      </w:r>
    </w:p>
    <w:p>
      <w:pPr>
        <w:pStyle w:val="TextBody"/>
        <w:bidi w:val="0"/>
        <w:spacing w:lineRule="auto" w:line="268" w:before="0" w:after="0"/>
        <w:jc w:val="left"/>
        <w:rPr>
          <w:rFonts w:ascii="Trade Gothic;sans-serif" w:hAnsi="Trade Gothic;sans-serif"/>
          <w:b w:val="false"/>
          <w:color w:val="000000"/>
          <w:sz w:val="19"/>
        </w:rPr>
      </w:pPr>
      <w:r>
        <w:rPr>
          <w:rFonts w:ascii="Trade Gothic;sans-serif" w:hAnsi="Trade Gothic;sans-serif"/>
          <w:b w:val="false"/>
          <w:color w:val="000000"/>
          <w:sz w:val="19"/>
        </w:rPr>
        <w:t>In addition, our tax returns are subject to examination by the IRS and state and local tax authorities. We regularly assess the likelihood of adverse outcomes resulting from these examinations to determine the adequacy of the provision for income taxes. Audits or challenges to our tax positions by taxing authorities could result in unforeseen tax-related liabilities, which may harm our future financial results.</w:t>
      </w:r>
    </w:p>
    <w:p>
      <w:pPr>
        <w:pStyle w:val="TextBody"/>
        <w:bidi w:val="0"/>
        <w:spacing w:lineRule="auto" w:line="288" w:before="120" w:after="180"/>
        <w:jc w:val="left"/>
        <w:rPr>
          <w:rFonts w:ascii="Trade Gothic;sans-serif" w:hAnsi="Trade Gothic;sans-serif"/>
          <w:b/>
          <w:i/>
          <w:color w:val="000000"/>
          <w:sz w:val="19"/>
        </w:rPr>
      </w:pPr>
      <w:r>
        <w:rPr>
          <w:rFonts w:ascii="Trade Gothic;sans-serif" w:hAnsi="Trade Gothic;sans-serif"/>
          <w:b/>
          <w:i/>
          <w:color w:val="000000"/>
          <w:sz w:val="19"/>
        </w:rPr>
        <w:t>Unstable market and economic conditions, including adverse developments affecting the financial services industry, such as actual events or concerns involving liquidity, defaults or non-performance by financial institutions or transactional counterparties, may have serious adverse consequences on our business, financial condition and stock price.</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widely reported, global credit and financial markets have experienced volatility and disruptions recently including severely diminished liquidity and credit availability, declines in consumer confidence, declines in economic growth, increases in unemployment rates and uncertainty about economic stability, and increased inflationary risk. The financial markets and the global economy may also be adversely affected by the current or anticipated impact of military conflict, including military conflicts in Ukraine and the Middle East, terrorism or other geopolitical events, as well as any ongoing or additional impacts of the COVID-19 pandemic or similar outbreak. Sanctions imposed by the United States and other countries in response to such conflicts, including in Ukraine and the Middle East, may also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equity or debt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0335"/>
                <wp:effectExtent l="0" t="0" r="0" b="0"/>
                <wp:wrapNone/>
                <wp:docPr id="88" name="Frame8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88</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was closed by the California Department of Financial Protection and Innovation, which appointed the Federal Deposit Insurance Corporation as receiver. Similarly, in March 2023, Signature Bank and Silvergate Capital Corp. were each swept into receivership, as was First Republic Bank in May 2023.</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As of June 30, 2026, we had cash and cash equivalents and short-term investments of $234.2 million. While we are not aware of any downgrades, material losses, or other significant deterioration in the fair value of our cash equivalents and short-term investments since June 30, 2026, no assurance can be given that further deterioration of the global credit and financial markets would not negatively impact our current portfolio of cash equivalents and short-term investments or our ability to meet our financing objectives. Furthermore, our stock price may decline due in part to the volatility of the stock market and the general economic downturn.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3" w:name="i938561dfa0d348a9aea04d9c754ec006_2112"/>
      <w:bookmarkEnd w:id="13"/>
      <w:r>
        <w:rPr>
          <w:rFonts w:ascii="Trade Gothic;sans-serif" w:hAnsi="Trade Gothic;sans-serif"/>
          <w:b/>
          <w:color w:val="000000"/>
          <w:sz w:val="20"/>
        </w:rPr>
        <w:t>Item 2. Unregistered Sales of Equity Securities and Use of Proceeds</w:t>
      </w:r>
    </w:p>
    <w:p>
      <w:pPr>
        <w:pStyle w:val="TextBody"/>
        <w:bidi w:val="0"/>
        <w:spacing w:lineRule="auto" w:line="288" w:before="80" w:after="40"/>
        <w:jc w:val="left"/>
        <w:rPr>
          <w:rFonts w:ascii="Trade Gothic;sans-serif" w:hAnsi="Trade Gothic;sans-serif"/>
          <w:b/>
          <w:i/>
          <w:color w:val="000000"/>
          <w:sz w:val="19"/>
          <w:u w:val="single"/>
        </w:rPr>
      </w:pPr>
      <w:r>
        <w:rPr>
          <w:rFonts w:ascii="Trade Gothic;sans-serif" w:hAnsi="Trade Gothic;sans-serif"/>
          <w:b/>
          <w:i/>
          <w:color w:val="000000"/>
          <w:sz w:val="19"/>
          <w:u w:val="single"/>
        </w:rPr>
        <w:t>Use of Proceeds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All of the shares of common stock issued and sold in our IPO were registered under the Securities Act, pursuant to a registration statement on Form S-1 (File No. 333-292779), which was declared effective by the SEC on January 30, 2025. There has been no material change in the intended use of proceeds from our IPO as described in our prospectus dated February 5, 2026 (File No. 333-292779), as filed with the SEC on February 6, 2026 pursuant to Rule 424(b)(4) under the Securities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4" w:name="i5e1a232b87964080a9bc2a7c46ce1649_380"/>
      <w:bookmarkEnd w:id="14"/>
      <w:r>
        <w:rPr>
          <w:rFonts w:ascii="Trade Gothic;sans-serif" w:hAnsi="Trade Gothic;sans-serif"/>
          <w:b/>
          <w:color w:val="000000"/>
          <w:sz w:val="20"/>
        </w:rPr>
        <w:t>Item 3. Defaults Upon Senior Securities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5" w:name="ie86abf50b0fc47868f915b324bb991d1_258"/>
      <w:bookmarkEnd w:id="15"/>
      <w:r>
        <w:rPr>
          <w:rFonts w:ascii="Trade Gothic;sans-serif" w:hAnsi="Trade Gothic;sans-serif"/>
          <w:b/>
          <w:color w:val="000000"/>
          <w:sz w:val="20"/>
        </w:rPr>
        <w:t>Item 4. Mine Safety Disclosures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bookmarkStart w:id="16" w:name="i5941cfeb18984c78873bc36d795eedd1_155"/>
      <w:bookmarkEnd w:id="16"/>
      <w:r>
        <w:rPr>
          <w:rFonts w:ascii="Trade Gothic;sans-serif" w:hAnsi="Trade Gothic;sans-serif"/>
          <w:b/>
          <w:color w:val="000000"/>
          <w:sz w:val="20"/>
        </w:rPr>
        <w:t>Item 5. Other Information</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0335"/>
                <wp:effectExtent l="0" t="0" r="0" b="0"/>
                <wp:wrapNone/>
                <wp:docPr id="89" name="Frame8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89</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240"/>
        <w:jc w:val="left"/>
        <w:rPr>
          <w:rFonts w:ascii="Trade Gothic;sans-serif" w:hAnsi="Trade Gothic;sans-serif"/>
          <w:b/>
          <w:color w:val="000000"/>
          <w:sz w:val="20"/>
        </w:rPr>
      </w:pPr>
      <w:bookmarkStart w:id="17" w:name="ib2765c2f72ea4c66a769a61566e758a5_1005"/>
      <w:bookmarkEnd w:id="17"/>
      <w:r>
        <w:rPr>
          <w:rFonts w:ascii="Trade Gothic;sans-serif" w:hAnsi="Trade Gothic;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01"/>
        <w:gridCol w:w="354"/>
        <w:gridCol w:w="355"/>
        <w:gridCol w:w="109"/>
        <w:gridCol w:w="109"/>
        <w:gridCol w:w="109"/>
        <w:gridCol w:w="2664"/>
        <w:gridCol w:w="2515"/>
        <w:gridCol w:w="3589"/>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Description</w:t>
            </w:r>
          </w:p>
        </w:tc>
      </w:tr>
      <w:tr>
        <w:trPr/>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rade Gothic;sans-serif" w:hAnsi="Trade Gothic;sans-serif"/>
                  <w:b w:val="false"/>
                  <w:color w:val="0000FF"/>
                  <w:sz w:val="19"/>
                  <w:u w:val="single"/>
                </w:rPr>
                <w:t>Amended and Restated Certificate of Incorporation of the Registrant (incorporated by reference to Exhibit 3.1 to the Registrant’s Current Report on Form 8-K filed with the SEC on February 9, 2026).</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rade Gothic;sans-serif" w:hAnsi="Trade Gothic;sans-serif"/>
                  <w:b w:val="false"/>
                  <w:color w:val="0000FF"/>
                  <w:sz w:val="19"/>
                  <w:u w:val="single"/>
                </w:rPr>
                <w:t>Amended and Restated Bylaws of the Registrant (incorporated by reference to Exhibit 3.2 to the Registrant’s Current Report on Form 8-K filed with the SEC on February 9, 2026).</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qq226.htm">
              <w:r>
                <w:rPr>
                  <w:rStyle w:val="InternetLink"/>
                  <w:rFonts w:ascii="Trade Gothic;sans-serif" w:hAnsi="Trade Gothic;sans-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rade Gothic;sans-serif" w:hAnsi="Trade Gothic;sans-serif"/>
                <w:b w:val="false"/>
                <w:color w:val="000000"/>
                <w:sz w:val="19"/>
              </w:rPr>
            </w:pPr>
            <w:r>
              <w:rPr>
                <w:rFonts w:ascii="Trade Gothic;sans-serif" w:hAnsi="Trade Gothic;sans-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qq226.htm">
              <w:r>
                <w:rPr>
                  <w:rStyle w:val="InternetLink"/>
                  <w:rFonts w:ascii="Trade Gothic;sans-serif" w:hAnsi="Trade Gothic;sans-serif"/>
                  <w:b w:val="false"/>
                  <w:color w:val="0000FF"/>
                  <w:sz w:val="19"/>
                  <w:u w:val="single"/>
                </w:rPr>
                <w:t>Certification of Chief Financial Officer pursuant to Rule 13a-14(a) and Rule 15d-14(a) of the Securities Exchange Act of 1934, as amended, as adopted pursuant to Section 302 of the Sarbanes-Oxley Act of 2002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val="false"/>
                <w:color w:val="000000"/>
                <w:sz w:val="19"/>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qq226.htm">
              <w:r>
                <w:rPr>
                  <w:rStyle w:val="InternetLink"/>
                  <w:rFonts w:ascii="Trade Gothic;sans-serif" w:hAnsi="Trade Gothic;sans-serif"/>
                  <w:b w:val="false"/>
                  <w:color w:val="0000FF"/>
                  <w:sz w:val="19"/>
                  <w:u w:val="single"/>
                </w:rPr>
                <w:t>Certification of Chief Executive Officer pursuant to 18 U.S.C. Section 1350 as adopted pursuant to Section 906 of the Sarbanes-Oxley Act of 2002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val="false"/>
                <w:color w:val="000000"/>
                <w:sz w:val="19"/>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qq226.htm">
              <w:r>
                <w:rPr>
                  <w:rStyle w:val="InternetLink"/>
                  <w:rFonts w:ascii="Trade Gothic;sans-serif" w:hAnsi="Trade Gothic;sans-serif"/>
                  <w:b w:val="false"/>
                  <w:color w:val="0000FF"/>
                  <w:sz w:val="19"/>
                  <w:u w:val="single"/>
                </w:rPr>
                <w:t>Certification of Chief Financial Officer pursuant to 18 U.S.C. Section 1350 as adopted pursuant to Section 906 of the Sarbanes-Oxley Act of 2002</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Instance Document – the instance document does not appear in the Interactive Data File because XBRL tags are embedded within the Inline XBRL document</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Schema Document</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Calculation Linkbase Document</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Definition Linkbase Document</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Label Linkbase Document</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Inline XBRL Taxonomy Extension Presentation Linkbase Document</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Cover page Interactive Data File (embedded with the Inline XBRL document)</w:t>
            </w:r>
          </w:p>
        </w:tc>
      </w:tr>
    </w:tbl>
    <w:p>
      <w:pPr>
        <w:pStyle w:val="TextBody"/>
        <w:bidi w:val="0"/>
        <w:spacing w:lineRule="auto" w:line="288" w:before="0" w:after="0"/>
        <w:ind w:left="0" w:right="0" w:hanging="360"/>
        <w:jc w:val="left"/>
        <w:rPr>
          <w:rFonts w:ascii="Trade Gothic;sans-serif" w:hAnsi="Trade Gothic;sans-serif"/>
          <w:b w:val="false"/>
          <w:color w:val="000000"/>
          <w:sz w:val="17"/>
        </w:rPr>
      </w:pPr>
      <w:r>
        <w:rPr>
          <w:rFonts w:ascii="Trade Gothic;sans-serif" w:hAnsi="Trade Gothic;sans-serif"/>
          <w:b w:val="false"/>
          <w:color w:val="000000"/>
          <w:sz w:val="17"/>
        </w:rPr>
        <w:t>*Filed herewith.</w:t>
      </w:r>
    </w:p>
    <w:p>
      <w:pPr>
        <w:pStyle w:val="TextBody"/>
        <w:bidi w:val="0"/>
        <w:spacing w:lineRule="auto" w:line="288" w:before="0" w:after="0"/>
        <w:ind w:left="0" w:right="0" w:hanging="360"/>
        <w:jc w:val="left"/>
        <w:rPr>
          <w:color w:val="000000"/>
        </w:rPr>
      </w:pPr>
      <w:r>
        <w:rPr>
          <w:color w:val="000000"/>
        </w:rPr>
        <w:t>†     </w:t>
      </w:r>
      <w:r>
        <w:rPr>
          <w:rFonts w:ascii="Trade Gothic;sans-serif" w:hAnsi="Trade Gothic;sans-serif"/>
          <w:b w:val="false"/>
          <w:color w:val="000000"/>
          <w:sz w:val="17"/>
        </w:rPr>
        <w:t>The certifications attached as Exhibit 32.1 and 32.2 that accompany this Quarterly Report on Form 10-Q are deemed furnished and not filed with the Securities and Exchange Commission and are not to be incorporated by reference into any filing of SpyGlass Pharma,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0335"/>
                <wp:effectExtent l="0" t="0" r="0" b="0"/>
                <wp:wrapNone/>
                <wp:docPr id="90" name="Frame9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90</w:t>
                      </w:r>
                    </w:p>
                  </w:txbxContent>
                </v:textbox>
                <w10:wrap type="none"/>
              </v:rect>
            </w:pict>
          </mc:Fallback>
        </mc:AlternateContent>
      </w:r>
    </w:p>
    <w:p>
      <w:pPr>
        <w:pStyle w:val="TextBody"/>
        <w:bidi w:val="0"/>
        <w:spacing w:lineRule="auto" w:line="288" w:before="0" w:after="0"/>
        <w:jc w:val="left"/>
        <w:rPr/>
      </w:pPr>
      <w:hyperlink w:anchor="ifaf54775e85441fc836f60bc7c4f1464_1558">
        <w:r>
          <w:rPr>
            <w:rStyle w:val="InternetLink"/>
          </w:rPr>
          <w:t>Tab</w:t>
        </w:r>
      </w:hyperlink>
      <w:hyperlink w:anchor="ifaf54775e85441fc836f60bc7c4f1464_1558">
        <w:r>
          <w:rPr>
            <w:rStyle w:val="InternetLink"/>
          </w:rPr>
          <w:t>l</w:t>
        </w:r>
      </w:hyperlink>
      <w:hyperlink w:anchor="ifaf54775e85441fc836f60bc7c4f1464_1558">
        <w:r>
          <w:rPr>
            <w:rStyle w:val="InternetLink"/>
          </w:rPr>
          <w:t>e of Contents</w:t>
        </w:r>
      </w:hyperlink>
    </w:p>
    <w:p>
      <w:pPr>
        <w:pStyle w:val="TextBody"/>
        <w:bidi w:val="0"/>
        <w:spacing w:lineRule="auto" w:line="288" w:before="0" w:after="360"/>
        <w:jc w:val="center"/>
        <w:rPr>
          <w:rFonts w:ascii="Trade Gothic;sans-serif" w:hAnsi="Trade Gothic;sans-serif"/>
          <w:b/>
          <w:color w:val="000000"/>
          <w:sz w:val="20"/>
        </w:rPr>
      </w:pPr>
      <w:bookmarkStart w:id="18" w:name="i8bacdd2ab04e4a25a93f3133e8abda76_2555"/>
      <w:bookmarkEnd w:id="18"/>
      <w:r>
        <w:rPr>
          <w:rFonts w:ascii="Trade Gothic;sans-serif" w:hAnsi="Trade Gothic;sans-serif"/>
          <w:b/>
          <w:color w:val="000000"/>
          <w:sz w:val="20"/>
        </w:rPr>
        <w:t>SIGNATURES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Act of 1933,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709"/>
        <w:gridCol w:w="621"/>
        <w:gridCol w:w="627"/>
        <w:gridCol w:w="442"/>
        <w:gridCol w:w="442"/>
        <w:gridCol w:w="442"/>
        <w:gridCol w:w="2241"/>
        <w:gridCol w:w="2148"/>
        <w:gridCol w:w="2157"/>
        <w:gridCol w:w="109"/>
        <w:gridCol w:w="109"/>
        <w:gridCol w:w="158"/>
      </w:tblGrid>
      <w:tr>
        <w:trPr/>
        <w:tc>
          <w:tcPr>
            <w:tcW w:w="7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Date: August 6, 2026</w:t>
            </w:r>
          </w:p>
        </w:tc>
        <w:tc>
          <w:tcPr>
            <w:tcW w:w="78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color w:val="000000"/>
                <w:sz w:val="19"/>
              </w:rPr>
            </w:pPr>
            <w:r>
              <w:rPr>
                <w:rFonts w:ascii="Trade Gothic;sans-serif" w:hAnsi="Trade Gothic;sans-serif"/>
                <w:b/>
                <w:color w:val="000000"/>
                <w:sz w:val="19"/>
              </w:rPr>
              <w:t>SPYGLASS PHARMA, INC.</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By:</w:t>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/s/ Jean-Frédéric Viret, Ph.D.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Jean-Frédéric Viret, Ph.D.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Chief Financial Officer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(Principal Financial Officer and duly authorized on behalf of the registrant)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0335"/>
                <wp:effectExtent l="0" t="0" r="0" b="0"/>
                <wp:wrapNone/>
                <wp:docPr id="91" name="Frame9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rFonts w:ascii="Trade Gothic;sans-serif" w:hAnsi="Trade Gothic;sans-serif"/>
                          <w:b w:val="false"/>
                          <w:color w:val="000000"/>
                          <w:sz w:val="19"/>
                        </w:rPr>
                      </w:pPr>
                      <w:r>
                        <w:rPr>
                          <w:rFonts w:ascii="Trade Gothic;sans-serif" w:hAnsi="Trade Gothic;sans-serif"/>
                          <w:b w:val="false"/>
                          <w:color w:val="000000"/>
                          <w:sz w:val="19"/>
                        </w:rPr>
                        <w:t>91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Patrick Mooney, certify that: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SpyGlass Pharma, Inc.;</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Mooney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Patrick Mooney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2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120" w:after="283"/>
        <w:jc w:val="both"/>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Jean-Frédéric Viret, certify that: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SpyGlass Pharma, Inc.;</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Jean-Frédéric Viret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Jean-Frédéric Viret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SPYGLASS PHARMA, INC.</w:t>
      </w:r>
    </w:p>
    <w:p>
      <w:pPr>
        <w:pStyle w:val="TextBody"/>
        <w:bidi w:val="0"/>
        <w:spacing w:lineRule="auto" w:line="288" w:before="0" w:after="0"/>
        <w:jc w:val="center"/>
        <w:rPr/>
      </w:pPr>
      <w:r>
        <w:rPr>
          <w:rFonts w:ascii="Times New Roman;serif" w:hAnsi="Times New Roman;serif"/>
          <w:b/>
          <w:color w:val="000000"/>
          <w:sz w:val="20"/>
        </w:rPr>
        <w:t>CERTIFICATION OF PRINCIPAL EXECUTIVE OFFICER PURSUANT TO</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18 U.S.C. SECTION 1350,</w:t>
      </w:r>
      <w:r>
        <w:rPr>
          <w:color w:val="000000"/>
        </w:rPr>
        <w:t xml:space="preserve"> </w:t>
      </w: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SpyGlass Pharma, Inc. (the “Company”) on Form 10-Q for the period ending June 30, 2026, as filed with the Securities and Exchange Commission on the date hereof (the “Report”), I, Patrick Mooney, certify, pursuant to 18 U.S.C. Section 1350, as adopted pursuant to Section 906 of the Sarbanes-Oxley Act of 2002, that to my knowledge: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Mooney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Patrick Mooney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SPYGLASS PHARMA,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SpyGlass Pharma, Inc. (the “Company”) on Form 10-Q for the period ending June 30, 2026, as filed with the Securities and Exchange Commission on the date hereof (the “Report”), I, Jean-Frédéric Viret, certify, pursuant to 18 U.S.C. Section 1350, as adopted pursuant to Section 906 of the Sarbanes-Oxley Act of 2002, that to my knowledge: </w:t>
      </w:r>
    </w:p>
    <w:p>
      <w:pPr>
        <w:pStyle w:val="TextBody"/>
        <w:bidi w:val="0"/>
        <w:spacing w:before="240" w:after="283"/>
        <w:ind w:left="0" w:right="0" w:firstLine="816"/>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Jean-Frédéric Viret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Jean-Frédéric Viret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8922/000162828026006460/exhibit31-closing8xk.htm" TargetMode="External"/><Relationship Id="rId3" Type="http://schemas.openxmlformats.org/officeDocument/2006/relationships/hyperlink" Target="https://www.sec.gov/Archives/edgar/data/1778922/000162828026006460/exhibit32-closing8x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68608</Words>
  <Characters>384046</Characters>
  <CharactersWithSpaces>451025</CharactersWithSpaces>
  <Paragraphs>2369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